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2D77" w14:textId="77777777" w:rsidR="00DA256F" w:rsidRPr="00DA256F" w:rsidRDefault="00DA256F" w:rsidP="00DA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256F">
        <w:rPr>
          <w:rFonts w:ascii="Times New Roman" w:hAnsi="Times New Roman" w:cs="Times New Roman"/>
          <w:b/>
          <w:bCs/>
          <w:sz w:val="24"/>
          <w:szCs w:val="24"/>
        </w:rPr>
        <w:t>Wabup</w:t>
      </w:r>
      <w:proofErr w:type="spellEnd"/>
      <w:r w:rsidRPr="00DA256F">
        <w:rPr>
          <w:rFonts w:ascii="Times New Roman" w:hAnsi="Times New Roman" w:cs="Times New Roman"/>
          <w:b/>
          <w:bCs/>
          <w:sz w:val="24"/>
          <w:szCs w:val="24"/>
        </w:rPr>
        <w:t xml:space="preserve"> HSS Bantu </w:t>
      </w:r>
      <w:proofErr w:type="spellStart"/>
      <w:r w:rsidRPr="00DA256F">
        <w:rPr>
          <w:rFonts w:ascii="Times New Roman" w:hAnsi="Times New Roman" w:cs="Times New Roman"/>
          <w:b/>
          <w:bCs/>
          <w:sz w:val="24"/>
          <w:szCs w:val="24"/>
        </w:rPr>
        <w:t>Perbaikan</w:t>
      </w:r>
      <w:proofErr w:type="spellEnd"/>
      <w:r w:rsidRPr="00DA2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256F">
        <w:rPr>
          <w:rFonts w:ascii="Times New Roman" w:hAnsi="Times New Roman" w:cs="Times New Roman"/>
          <w:b/>
          <w:bCs/>
          <w:sz w:val="24"/>
          <w:szCs w:val="24"/>
        </w:rPr>
        <w:t>Alkah</w:t>
      </w:r>
      <w:proofErr w:type="spellEnd"/>
      <w:r w:rsidRPr="00DA256F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DA256F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DA2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256F">
        <w:rPr>
          <w:rFonts w:ascii="Times New Roman" w:hAnsi="Times New Roman" w:cs="Times New Roman"/>
          <w:b/>
          <w:bCs/>
          <w:sz w:val="24"/>
          <w:szCs w:val="24"/>
        </w:rPr>
        <w:t>Tumbukan</w:t>
      </w:r>
      <w:proofErr w:type="spellEnd"/>
      <w:r w:rsidRPr="00DA256F">
        <w:rPr>
          <w:rFonts w:ascii="Times New Roman" w:hAnsi="Times New Roman" w:cs="Times New Roman"/>
          <w:b/>
          <w:bCs/>
          <w:sz w:val="24"/>
          <w:szCs w:val="24"/>
        </w:rPr>
        <w:t xml:space="preserve"> Banyu</w:t>
      </w:r>
    </w:p>
    <w:p w14:paraId="6F8063C8" w14:textId="77777777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29CAE" w14:textId="7F3AB32E" w:rsidR="00E42981" w:rsidRPr="00CE0A93" w:rsidRDefault="00DA256F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9F8DDC1" wp14:editId="13BEC32E">
            <wp:extent cx="3215956" cy="2415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10-11-at-14.58.29-e163393598055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62" cy="242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FB8E" w14:textId="03978ABF" w:rsidR="00E42981" w:rsidRPr="00CE0A93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7875" w14:textId="7FE6DCA4" w:rsidR="00E42981" w:rsidRDefault="00E42981" w:rsidP="00DA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2AEEC3" w14:textId="2C37B6F8" w:rsidR="00B0464D" w:rsidRPr="00DF61A7" w:rsidRDefault="00DA256F" w:rsidP="00DA256F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4"/>
          <w:szCs w:val="24"/>
        </w:rPr>
      </w:pPr>
      <w:r w:rsidRPr="00DF61A7">
        <w:rPr>
          <w:rFonts w:ascii="Times New Roman" w:hAnsi="Times New Roman" w:cs="Times New Roman"/>
          <w:bCs/>
          <w:i/>
          <w:sz w:val="20"/>
          <w:szCs w:val="20"/>
        </w:rPr>
        <w:t>https://kalselpos.com/2021/10/11/wabup-hss-bantu-perbaikan-alkah-di-desa-tumbukan-banyu/</w:t>
      </w:r>
    </w:p>
    <w:p w14:paraId="4701ED97" w14:textId="77777777" w:rsidR="00DA256F" w:rsidRDefault="00DA256F" w:rsidP="00B0464D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1D81F880" w14:textId="6F05CCEF" w:rsidR="00D66891" w:rsidRPr="00DF61A7" w:rsidRDefault="00DA256F" w:rsidP="00DA256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Wakil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) Hulu Sungai Selatan (HSS)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Syamsuri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Arsyad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tengah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renovasi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Pemakaman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Nuruddin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Tumbukan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Banyu,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Daha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Selatan.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renovasi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diserahkan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Syamsuri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Arsyad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kunjungan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Senin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(11/10).</w:t>
      </w:r>
    </w:p>
    <w:p w14:paraId="4E3BBD0D" w14:textId="77777777" w:rsidR="00DA256F" w:rsidRPr="00DF61A7" w:rsidRDefault="00DA256F" w:rsidP="00DA256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Syamsuri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Arsyad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wilayah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Daha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dibutuhkan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hampir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sebagian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besar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wilayah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rawa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perairan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selalu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tergenang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jika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musim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penghujan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Syamsuri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Arsyad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Sebelumnya</w:t>
      </w:r>
      <w:proofErr w:type="spellEnd"/>
      <w:proofErr w:type="gram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kunjungan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rangka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memenuhi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harapan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yang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ingin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minta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dilihat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pembuatan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pemakaman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>..</w:t>
      </w:r>
    </w:p>
    <w:p w14:paraId="5FA19190" w14:textId="1E0F53C0" w:rsidR="00DA256F" w:rsidRPr="00DF61A7" w:rsidRDefault="00DA256F" w:rsidP="00DA256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Menurut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kunjungan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proofErr w:type="gram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menilai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pemakaian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Nuruddin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Tumbukan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Banyu RT 03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layak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ingin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ketinggian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lahannya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tergenang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jadi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berikan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alakadarnya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berupa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uang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tunai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10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juta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10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truk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tanah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uruk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seluruhnya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berasal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gram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dana</w:t>
      </w:r>
      <w:proofErr w:type="gram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pribadi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</w:p>
    <w:p w14:paraId="6D604F0E" w14:textId="637A6448" w:rsidR="00DA256F" w:rsidRPr="00DF61A7" w:rsidRDefault="00DA256F" w:rsidP="00DA256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H Muhammad,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warga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Tumbukan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Banyu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mengungkapkan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Nuruddin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selama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dikelola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swadaya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yang mana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sejak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puluhan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sebelumnya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pernah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penyiringan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menggunakan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kayu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ulin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2003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silam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Namun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upaya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belum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menahan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masuknya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genangan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air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musim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penghujan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. H </w:t>
      </w:r>
      <w:proofErr w:type="gram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Muhammad 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proofErr w:type="gram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bersyukur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Pak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Syamsuri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Arsyad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mau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perbaikan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disini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selama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kami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lastRenderedPageBreak/>
        <w:t>hanya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mengandalkan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swadaya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saja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perbaikan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alkah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pemakaman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kesempatan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Syamsuri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menyalurkan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perbaikan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TPA Al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Ikhsan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Taluk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Labak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color w:val="2A2A2A"/>
          <w:sz w:val="24"/>
          <w:szCs w:val="24"/>
        </w:rPr>
        <w:t>Daha</w:t>
      </w:r>
      <w:proofErr w:type="spellEnd"/>
      <w:r w:rsidRPr="00DF61A7">
        <w:rPr>
          <w:rFonts w:ascii="Times New Roman" w:hAnsi="Times New Roman" w:cs="Times New Roman"/>
          <w:color w:val="2A2A2A"/>
          <w:sz w:val="24"/>
          <w:szCs w:val="24"/>
        </w:rPr>
        <w:t xml:space="preserve"> Utara.</w:t>
      </w:r>
    </w:p>
    <w:p w14:paraId="6BE1A45E" w14:textId="77777777" w:rsidR="00DA256F" w:rsidRPr="00DF61A7" w:rsidRDefault="00DA256F" w:rsidP="00DA256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DF61A7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F6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DF61A7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DF61A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D9DEC" w14:textId="5C339EE2" w:rsidR="00B0464D" w:rsidRPr="00DF61A7" w:rsidRDefault="00902484" w:rsidP="00DA256F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DA256F" w:rsidRPr="00DF61A7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https://kalselpos.com/2021/10/11/wabup-hss-bantu-perbaikan-alkah-di-desa-tumbukan-banyu/</w:t>
        </w:r>
      </w:hyperlink>
      <w:r w:rsidR="00DA256F"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Wabup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HSS Bantu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Perbaikan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Alkah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Tumbukan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Banyu</w:t>
      </w:r>
      <w:r w:rsidR="00270ADD" w:rsidRPr="00DF61A7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DF61A7">
        <w:rPr>
          <w:rFonts w:ascii="Times New Roman" w:hAnsi="Times New Roman" w:cs="Times New Roman"/>
          <w:sz w:val="24"/>
          <w:szCs w:val="24"/>
        </w:rPr>
        <w:t xml:space="preserve"> </w:t>
      </w:r>
      <w:r w:rsidR="00DA256F" w:rsidRPr="00DF61A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A256F" w:rsidRPr="00DF61A7">
        <w:rPr>
          <w:rFonts w:ascii="Times New Roman" w:hAnsi="Times New Roman" w:cs="Times New Roman"/>
          <w:sz w:val="24"/>
          <w:szCs w:val="24"/>
        </w:rPr>
        <w:t>Oktoer</w:t>
      </w:r>
      <w:proofErr w:type="spellEnd"/>
      <w:r w:rsidR="00270ADD" w:rsidRPr="00DF61A7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3631ACB" w14:textId="4AC578CE" w:rsidR="00DA256F" w:rsidRPr="00DF61A7" w:rsidRDefault="00902484" w:rsidP="00DA256F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DA256F" w:rsidRPr="00DF61A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https://narasipublik.net/wabup-syamsuri-bantu-perbaikan-alkah-pemakaman-di-desa-tumbukan-banyu/</w:t>
        </w:r>
      </w:hyperlink>
      <w:r w:rsidR="00DA256F" w:rsidRPr="00DF61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Wabup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Syamsuri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Bantu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Perbaikan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Alkah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Pemakaman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>Tumbukan</w:t>
      </w:r>
      <w:proofErr w:type="spellEnd"/>
      <w:r w:rsidR="00DA256F" w:rsidRPr="00DF61A7">
        <w:rPr>
          <w:rFonts w:ascii="Times New Roman" w:hAnsi="Times New Roman" w:cs="Times New Roman"/>
          <w:bCs/>
          <w:i/>
          <w:sz w:val="24"/>
          <w:szCs w:val="24"/>
        </w:rPr>
        <w:t xml:space="preserve"> Banyu, </w:t>
      </w:r>
      <w:r w:rsidR="00DA256F" w:rsidRPr="00DF61A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A256F" w:rsidRPr="00DF61A7">
        <w:rPr>
          <w:rFonts w:ascii="Times New Roman" w:hAnsi="Times New Roman" w:cs="Times New Roman"/>
          <w:sz w:val="24"/>
          <w:szCs w:val="24"/>
        </w:rPr>
        <w:t>Oktoer</w:t>
      </w:r>
      <w:proofErr w:type="spellEnd"/>
      <w:r w:rsidR="00DA256F" w:rsidRPr="00DF61A7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4B84B82" w14:textId="77777777" w:rsidR="00DA256F" w:rsidRPr="00DF61A7" w:rsidRDefault="00DA256F" w:rsidP="00DA256F">
      <w:pPr>
        <w:pStyle w:val="ListParagraph"/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79485133" w:rsidR="00E42981" w:rsidRPr="00DF61A7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DF6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DF61A7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DF61A7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DF61A7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DF61A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DF61A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DF61A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r w:rsidRPr="00DF61A7">
        <w:rPr>
          <w:rFonts w:ascii="Times New Roman" w:hAnsi="Times New Roman" w:cs="Times New Roman"/>
          <w:sz w:val="24"/>
          <w:szCs w:val="24"/>
        </w:rPr>
        <w:lastRenderedPageBreak/>
        <w:t xml:space="preserve">non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DF61A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DF61A7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 </w:t>
      </w:r>
      <w:r w:rsidRPr="00DF61A7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DF61A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DF61A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DF61A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DF61A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DF61A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DF61A7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DF61A7" w:rsidRDefault="00D66891" w:rsidP="00D66891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lastRenderedPageBreak/>
        <w:t>Jenis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DF61A7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DF61A7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1A7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DF61A7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DF61A7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DF61A7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1A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61A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660110E" w14:textId="77777777" w:rsidR="00D66891" w:rsidRPr="00DF61A7" w:rsidRDefault="00D6689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DF61A7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FD9C" w14:textId="77777777" w:rsidR="00902484" w:rsidRDefault="00902484" w:rsidP="00E42981">
      <w:pPr>
        <w:spacing w:after="0" w:line="240" w:lineRule="auto"/>
      </w:pPr>
      <w:r>
        <w:separator/>
      </w:r>
    </w:p>
  </w:endnote>
  <w:endnote w:type="continuationSeparator" w:id="0">
    <w:p w14:paraId="198C8480" w14:textId="77777777" w:rsidR="00902484" w:rsidRDefault="00902484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AF8C3A3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61A7" w:rsidRPr="00DF61A7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1CABE" w14:textId="77777777" w:rsidR="00902484" w:rsidRDefault="00902484" w:rsidP="00E42981">
      <w:pPr>
        <w:spacing w:after="0" w:line="240" w:lineRule="auto"/>
      </w:pPr>
      <w:r>
        <w:separator/>
      </w:r>
    </w:p>
  </w:footnote>
  <w:footnote w:type="continuationSeparator" w:id="0">
    <w:p w14:paraId="1AAA9A50" w14:textId="77777777" w:rsidR="00902484" w:rsidRDefault="00902484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A2325"/>
    <w:rsid w:val="000B53DE"/>
    <w:rsid w:val="000E3038"/>
    <w:rsid w:val="00104F65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902484"/>
    <w:rsid w:val="00957D36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B1E3E"/>
    <w:rsid w:val="00CD47ED"/>
    <w:rsid w:val="00CE0A93"/>
    <w:rsid w:val="00CE28E0"/>
    <w:rsid w:val="00D66891"/>
    <w:rsid w:val="00DA256F"/>
    <w:rsid w:val="00DB4F2A"/>
    <w:rsid w:val="00DF61A7"/>
    <w:rsid w:val="00E42981"/>
    <w:rsid w:val="00EE779B"/>
    <w:rsid w:val="00EF09DE"/>
    <w:rsid w:val="00F37C0F"/>
    <w:rsid w:val="00F418C4"/>
    <w:rsid w:val="00F716A3"/>
    <w:rsid w:val="00F84937"/>
    <w:rsid w:val="00F85D10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rasipublik.net/wabup-syamsuri-bantu-perbaikan-alkah-pemakaman-di-desa-tumbukan-ban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1/wabup-hss-bantu-perbaikan-alkah-di-desa-tumbukan-banyu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8A9B-6E7E-4EF6-B3A6-24C488DE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2021-10-12T06:56:00Z</dcterms:created>
  <dcterms:modified xsi:type="dcterms:W3CDTF">2021-12-09T02:33:00Z</dcterms:modified>
</cp:coreProperties>
</file>