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CD6A5" w14:textId="3BB14E48" w:rsidR="00B97392" w:rsidRPr="00F346A9" w:rsidRDefault="0057679F" w:rsidP="00576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46A9">
        <w:rPr>
          <w:rFonts w:ascii="Times New Roman" w:hAnsi="Times New Roman" w:cs="Times New Roman"/>
          <w:b/>
          <w:bCs/>
          <w:sz w:val="24"/>
          <w:szCs w:val="24"/>
        </w:rPr>
        <w:t>Pemkab</w:t>
      </w:r>
      <w:proofErr w:type="spellEnd"/>
      <w:r w:rsidRPr="00F34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b/>
          <w:bCs/>
          <w:sz w:val="24"/>
          <w:szCs w:val="24"/>
        </w:rPr>
        <w:t>Tanbu</w:t>
      </w:r>
      <w:proofErr w:type="spellEnd"/>
      <w:r w:rsidRPr="00F34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b/>
          <w:bCs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b/>
          <w:bCs/>
          <w:sz w:val="24"/>
          <w:szCs w:val="24"/>
        </w:rPr>
        <w:t>ratusan</w:t>
      </w:r>
      <w:proofErr w:type="spellEnd"/>
      <w:r w:rsidRPr="00F34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b/>
          <w:bCs/>
          <w:sz w:val="24"/>
          <w:szCs w:val="24"/>
        </w:rPr>
        <w:t>kendaraan</w:t>
      </w:r>
      <w:proofErr w:type="spellEnd"/>
      <w:r w:rsidRPr="00F34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b/>
          <w:bCs/>
          <w:sz w:val="24"/>
          <w:szCs w:val="24"/>
        </w:rPr>
        <w:t>roda</w:t>
      </w:r>
      <w:proofErr w:type="spellEnd"/>
      <w:r w:rsidRPr="00F346A9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F346A9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b/>
          <w:bCs/>
          <w:sz w:val="24"/>
          <w:szCs w:val="24"/>
        </w:rPr>
        <w:t>puluhan</w:t>
      </w:r>
      <w:proofErr w:type="spellEnd"/>
      <w:r w:rsidRPr="00F34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b/>
          <w:bCs/>
          <w:sz w:val="24"/>
          <w:szCs w:val="24"/>
        </w:rPr>
        <w:t>roda</w:t>
      </w:r>
      <w:proofErr w:type="spellEnd"/>
      <w:r w:rsidRPr="00F346A9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2851583B" w14:textId="6F4DA607" w:rsidR="00B0464D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31FF72D7" w:rsidR="00E42981" w:rsidRPr="00CE0A93" w:rsidRDefault="0030403E" w:rsidP="00F34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D5E3EDE" wp14:editId="52704989">
            <wp:extent cx="3116580" cy="2299343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mkab Tanbu lelang ratusan kendaraan roda 2 dan puluhan roda 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81" cy="230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EC1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BD1D1E1" w14:textId="438FCC59" w:rsidR="009164D1" w:rsidRPr="00F346A9" w:rsidRDefault="00F346A9" w:rsidP="00EC18B4">
      <w:pPr>
        <w:spacing w:after="0" w:line="312" w:lineRule="auto"/>
        <w:jc w:val="center"/>
        <w:rPr>
          <w:rFonts w:ascii="Times New Roman" w:hAnsi="Times New Roman" w:cs="Times New Roman"/>
          <w:i/>
          <w:color w:val="2A2A2A"/>
          <w:sz w:val="24"/>
          <w:szCs w:val="24"/>
        </w:rPr>
      </w:pPr>
      <w:hyperlink r:id="rId9" w:history="1">
        <w:r w:rsidRPr="00D030BC">
          <w:rPr>
            <w:rStyle w:val="Hyperlink"/>
            <w:rFonts w:ascii="Times New Roman" w:hAnsi="Times New Roman" w:cs="Times New Roman"/>
            <w:bCs/>
            <w:i/>
            <w:sz w:val="20"/>
            <w:szCs w:val="20"/>
          </w:rPr>
          <w:t>https://kalselpos.com/2021/10/14/pemkab-tanbu-lelang-ratusan-kendaraan-roda-2-dan-puluhan-roda-4/</w:t>
        </w:r>
      </w:hyperlink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423623EF" w14:textId="77777777" w:rsidR="00F346A9" w:rsidRDefault="00F346A9" w:rsidP="0030403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01749" w14:textId="53F39208" w:rsidR="0030403E" w:rsidRPr="00F346A9" w:rsidRDefault="0030403E" w:rsidP="0030403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Tanbu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Daerah (BPKAD)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(KPKNL) </w:t>
      </w:r>
      <w:proofErr w:type="spellStart"/>
      <w:proofErr w:type="gramStart"/>
      <w:r w:rsidRPr="00F34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ratusan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du</w:t>
      </w:r>
      <w:r w:rsidR="00D24C62" w:rsidRPr="00F346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24C62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C62"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4C62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C62" w:rsidRPr="00F346A9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="00D24C62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C62" w:rsidRPr="00F346A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D24C62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C62" w:rsidRPr="00F346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24C62" w:rsidRPr="00F346A9">
        <w:rPr>
          <w:rFonts w:ascii="Times New Roman" w:hAnsi="Times New Roman" w:cs="Times New Roman"/>
          <w:sz w:val="24"/>
          <w:szCs w:val="24"/>
        </w:rPr>
        <w:t xml:space="preserve"> online.</w:t>
      </w:r>
    </w:p>
    <w:p w14:paraId="182732B8" w14:textId="77777777" w:rsidR="00D24C62" w:rsidRPr="00F346A9" w:rsidRDefault="0030403E" w:rsidP="0030403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dilelang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200 unit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25 unit,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penilain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dilelang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>.</w:t>
      </w:r>
      <w:r w:rsidR="00D24C62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scrup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besi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per unit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>.</w:t>
      </w:r>
    </w:p>
    <w:p w14:paraId="5FE0DA5B" w14:textId="77777777" w:rsidR="00D24C62" w:rsidRPr="00F346A9" w:rsidRDefault="0030403E" w:rsidP="0030403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Daerah BPKAD Tanah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4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dilelang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selanjutn</w:t>
      </w:r>
      <w:r w:rsidR="00D24C62" w:rsidRPr="00F346A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24C62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C62" w:rsidRPr="00F34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24C62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C62" w:rsidRPr="00F346A9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="00D24C62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C62" w:rsidRPr="00F346A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24C62" w:rsidRPr="00F346A9">
        <w:rPr>
          <w:rFonts w:ascii="Times New Roman" w:hAnsi="Times New Roman" w:cs="Times New Roman"/>
          <w:sz w:val="24"/>
          <w:szCs w:val="24"/>
        </w:rPr>
        <w:t xml:space="preserve"> KPKNL. </w:t>
      </w:r>
    </w:p>
    <w:p w14:paraId="559548BA" w14:textId="39A630B2" w:rsidR="0030403E" w:rsidRPr="00F346A9" w:rsidRDefault="00D24C62" w:rsidP="0030403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6A9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403E" w:rsidRPr="00F34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KPKNL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scrub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metod</w:t>
      </w:r>
      <w:r w:rsidRPr="00F346A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perunit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403E" w:rsidRPr="00F34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KPKNL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09.00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Wita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14.00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Wita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>.</w:t>
      </w:r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30403E" w:rsidRPr="00F34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dilelang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peminatnya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hibahkan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BLK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Bumbu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website KPKL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403E" w:rsidRPr="00F346A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30403E" w:rsidRPr="00F346A9">
        <w:rPr>
          <w:rFonts w:ascii="Times New Roman" w:hAnsi="Times New Roman" w:cs="Times New Roman"/>
          <w:sz w:val="24"/>
          <w:szCs w:val="24"/>
        </w:rPr>
        <w:t>.</w:t>
      </w:r>
    </w:p>
    <w:p w14:paraId="2410F736" w14:textId="77777777" w:rsidR="00EC18B4" w:rsidRPr="00F346A9" w:rsidRDefault="00EC18B4" w:rsidP="00EC18B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0123CED9" w:rsidR="00E42981" w:rsidRPr="00F346A9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6A9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F34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F346A9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F346A9">
        <w:rPr>
          <w:rFonts w:ascii="Times New Roman" w:hAnsi="Times New Roman" w:cs="Times New Roman"/>
          <w:b/>
          <w:sz w:val="24"/>
          <w:szCs w:val="24"/>
        </w:rPr>
        <w:t>:</w:t>
      </w:r>
    </w:p>
    <w:p w14:paraId="50E36EBF" w14:textId="77777777" w:rsidR="00D24C62" w:rsidRPr="00F346A9" w:rsidRDefault="00D17199" w:rsidP="00D24C62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30403E" w:rsidRPr="00F346A9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https://kalselpos.com/2021/10/14/pemkab-tanbu-lelang-ratusan-kendaraan-roda-2-dan-puluhan-roda-4/</w:t>
        </w:r>
      </w:hyperlink>
      <w:r w:rsidR="0030403E"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>Pemkab</w:t>
      </w:r>
      <w:proofErr w:type="spellEnd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>Tanbu</w:t>
      </w:r>
      <w:proofErr w:type="spellEnd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>lelang</w:t>
      </w:r>
      <w:proofErr w:type="spellEnd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>ratusan</w:t>
      </w:r>
      <w:proofErr w:type="spellEnd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>kendaraan</w:t>
      </w:r>
      <w:proofErr w:type="spellEnd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>roda</w:t>
      </w:r>
      <w:proofErr w:type="spellEnd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2 </w:t>
      </w:r>
      <w:proofErr w:type="spellStart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>puluhan</w:t>
      </w:r>
      <w:proofErr w:type="spellEnd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>roda</w:t>
      </w:r>
      <w:proofErr w:type="spellEnd"/>
      <w:r w:rsidR="0030403E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4</w:t>
      </w:r>
      <w:r w:rsidR="00FB2327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C18B4" w:rsidRPr="00F346A9">
        <w:rPr>
          <w:rFonts w:ascii="Times New Roman" w:hAnsi="Times New Roman" w:cs="Times New Roman"/>
          <w:sz w:val="24"/>
          <w:szCs w:val="24"/>
        </w:rPr>
        <w:t>15</w:t>
      </w:r>
      <w:r w:rsidR="00CC1BC4"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BC4" w:rsidRPr="00F346A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F346A9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00FEC52" w14:textId="4F84836A" w:rsidR="00D24C62" w:rsidRPr="00F346A9" w:rsidRDefault="00D17199" w:rsidP="00D24C62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1" w:history="1">
        <w:r w:rsidR="00D24C62" w:rsidRPr="00F346A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https://rri.co.id/banjarmasin/kabupaten-kota/1226109/kendaraan-milik-pemkab-tanah-bumbu-akan-dilelang-secara-online</w:t>
        </w:r>
      </w:hyperlink>
      <w:r w:rsidR="00D24C62" w:rsidRPr="00F346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>Kendaraan</w:t>
      </w:r>
      <w:proofErr w:type="spellEnd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>Milik</w:t>
      </w:r>
      <w:proofErr w:type="spellEnd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>Pemkab</w:t>
      </w:r>
      <w:proofErr w:type="spellEnd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Tanah </w:t>
      </w:r>
      <w:proofErr w:type="spellStart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>Bumbu</w:t>
      </w:r>
      <w:proofErr w:type="spellEnd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Akan </w:t>
      </w:r>
      <w:proofErr w:type="spellStart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>Dilelang</w:t>
      </w:r>
      <w:proofErr w:type="spellEnd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>Secara</w:t>
      </w:r>
      <w:proofErr w:type="spellEnd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Online, 15 </w:t>
      </w:r>
      <w:proofErr w:type="spellStart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>Oktober</w:t>
      </w:r>
      <w:proofErr w:type="spellEnd"/>
      <w:r w:rsidR="00D24C62" w:rsidRPr="00F346A9">
        <w:rPr>
          <w:rFonts w:ascii="Times New Roman" w:hAnsi="Times New Roman" w:cs="Times New Roman"/>
          <w:bCs/>
          <w:i/>
          <w:sz w:val="24"/>
          <w:szCs w:val="24"/>
        </w:rPr>
        <w:t xml:space="preserve"> 2021.</w:t>
      </w:r>
    </w:p>
    <w:p w14:paraId="7923AB8C" w14:textId="7ED3C375" w:rsidR="00CC1BC4" w:rsidRPr="00F346A9" w:rsidRDefault="00CC1BC4" w:rsidP="00FE2BD2">
      <w:pPr>
        <w:pStyle w:val="ListParagraph"/>
        <w:spacing w:line="312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6AA9EDF" w14:textId="1A82A63F" w:rsidR="00E42981" w:rsidRPr="00F346A9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6A9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F34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F346A9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F346A9">
        <w:rPr>
          <w:rFonts w:ascii="Times New Roman" w:hAnsi="Times New Roman" w:cs="Times New Roman"/>
          <w:b/>
          <w:sz w:val="24"/>
          <w:szCs w:val="24"/>
        </w:rPr>
        <w:t>:</w:t>
      </w:r>
    </w:p>
    <w:p w14:paraId="2130706B" w14:textId="49126821" w:rsidR="00D24C62" w:rsidRPr="00F346A9" w:rsidRDefault="00D24C62" w:rsidP="00D24C6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6A9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</w:p>
    <w:p w14:paraId="376E5A36" w14:textId="77777777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(KPKNL)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Mentri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153/PMK. 01/2006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30, Kantor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Kantor Wilayah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. Kantor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seharunya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(good governance). </w:t>
      </w:r>
    </w:p>
    <w:p w14:paraId="6CAA30C7" w14:textId="59B2B248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 xml:space="preserve">KPKNL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kekayaannya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>.</w:t>
      </w:r>
    </w:p>
    <w:p w14:paraId="7E687F0E" w14:textId="60CA53E5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F81B52" w14:textId="28BC58D6" w:rsidR="00D24C62" w:rsidRPr="00F346A9" w:rsidRDefault="00D24C62" w:rsidP="00D24C6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6A9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F346A9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F346A9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F346A9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 w:rsidRPr="00F346A9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b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b/>
          <w:sz w:val="24"/>
          <w:szCs w:val="24"/>
        </w:rPr>
        <w:t xml:space="preserve"> Negara Dan </w:t>
      </w:r>
      <w:proofErr w:type="spellStart"/>
      <w:r w:rsidRPr="00F346A9">
        <w:rPr>
          <w:rFonts w:ascii="Times New Roman" w:hAnsi="Times New Roman" w:cs="Times New Roman"/>
          <w:b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6A9">
        <w:rPr>
          <w:rFonts w:ascii="Times New Roman" w:hAnsi="Times New Roman" w:cs="Times New Roman"/>
          <w:sz w:val="24"/>
          <w:szCs w:val="24"/>
        </w:rPr>
        <w:t>(KPKNL)</w:t>
      </w:r>
    </w:p>
    <w:p w14:paraId="6C932241" w14:textId="77777777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(KPKNL),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vertical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Negara(DJKN) yang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Wilayah.Instansi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vertical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department-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departmen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department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KPKNL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E30280" w14:textId="77777777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pengadministrasian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Negara. </w:t>
      </w:r>
    </w:p>
    <w:p w14:paraId="7098EC74" w14:textId="77777777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Negara. </w:t>
      </w:r>
    </w:p>
    <w:p w14:paraId="5140AD24" w14:textId="77777777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penagihan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pengeloloaan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19E345" w14:textId="77777777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keringanan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wanktu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penyanderaan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penjamin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Negara. </w:t>
      </w:r>
    </w:p>
    <w:p w14:paraId="4BB268E2" w14:textId="77777777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penilaian</w:t>
      </w:r>
      <w:proofErr w:type="gramStart"/>
      <w:r w:rsidRPr="00F346A9">
        <w:rPr>
          <w:rFonts w:ascii="Times New Roman" w:hAnsi="Times New Roman" w:cs="Times New Roman"/>
          <w:sz w:val="24"/>
          <w:szCs w:val="24"/>
        </w:rPr>
        <w:t>,piutang</w:t>
      </w:r>
      <w:proofErr w:type="spellEnd"/>
      <w:proofErr w:type="gramEnd"/>
      <w:r w:rsidRPr="00F346A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F8D60C" w14:textId="77777777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penagihan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penjamin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4D7B8" w14:textId="091C2FA3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penjamin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lain.</w:t>
      </w:r>
    </w:p>
    <w:p w14:paraId="6AA79B60" w14:textId="77777777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8A8CE" w14:textId="77777777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Inventarisasi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pengamanan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70D08" w14:textId="77777777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5C254F" w14:textId="412AAE54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KPKNL.</w:t>
      </w:r>
    </w:p>
    <w:p w14:paraId="1D6E9BF1" w14:textId="71DF0731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90AE01" w14:textId="77777777" w:rsidR="00D24C62" w:rsidRPr="00F346A9" w:rsidRDefault="00D24C62" w:rsidP="00D24C6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6A9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F346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b/>
          <w:sz w:val="24"/>
          <w:szCs w:val="24"/>
        </w:rPr>
        <w:t>Lelang</w:t>
      </w:r>
      <w:proofErr w:type="spellEnd"/>
    </w:p>
    <w:p w14:paraId="544AA638" w14:textId="6C8D36EB" w:rsidR="00D24C62" w:rsidRPr="00F346A9" w:rsidRDefault="00D24C62" w:rsidP="00D24C6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Kemenkeu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304/KMK.01/2002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proofErr w:type="gramStart"/>
      <w:r w:rsidRPr="00F346A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423CBB4" w14:textId="46E6D6A5" w:rsidR="00D24C62" w:rsidRPr="00F346A9" w:rsidRDefault="00D24C62" w:rsidP="00D24C62">
      <w:pPr>
        <w:pStyle w:val="ListParagraph"/>
        <w:spacing w:after="0" w:line="312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46A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didahului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6A9">
        <w:rPr>
          <w:rFonts w:ascii="Times New Roman" w:hAnsi="Times New Roman" w:cs="Times New Roman"/>
          <w:sz w:val="24"/>
          <w:szCs w:val="24"/>
        </w:rPr>
        <w:t>peminat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>”.</w:t>
      </w:r>
      <w:r w:rsidRPr="00F346A9">
        <w:rPr>
          <w:rFonts w:ascii="Times New Roman" w:hAnsi="Times New Roman" w:cs="Times New Roman"/>
          <w:sz w:val="24"/>
          <w:szCs w:val="24"/>
        </w:rPr>
        <w:cr/>
      </w:r>
    </w:p>
    <w:p w14:paraId="20C564F7" w14:textId="1E96D520" w:rsidR="00D24C62" w:rsidRPr="00D24C62" w:rsidRDefault="00D24C62" w:rsidP="00D24C6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346A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346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46A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346A9">
          <w:rPr>
            <w:rStyle w:val="Hyperlink"/>
            <w:rFonts w:ascii="Times New Roman" w:hAnsi="Times New Roman" w:cs="Times New Roman"/>
            <w:sz w:val="24"/>
            <w:szCs w:val="24"/>
          </w:rPr>
          <w:t>http://repositori.unsil.ac.id/563/6/BAB%20II.pdf</w:t>
        </w:r>
      </w:hyperlink>
      <w:bookmarkEnd w:id="0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D24C62" w:rsidRPr="00D24C62" w:rsidSect="004A75A5">
      <w:footerReference w:type="default" r:id="rId13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C0089" w14:textId="77777777" w:rsidR="00D17199" w:rsidRDefault="00D17199" w:rsidP="00E42981">
      <w:pPr>
        <w:spacing w:after="0" w:line="240" w:lineRule="auto"/>
      </w:pPr>
      <w:r>
        <w:separator/>
      </w:r>
    </w:p>
  </w:endnote>
  <w:endnote w:type="continuationSeparator" w:id="0">
    <w:p w14:paraId="0FA60386" w14:textId="77777777" w:rsidR="00D17199" w:rsidRDefault="00D17199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55D30365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46A9" w:rsidRPr="00F346A9">
          <w:rPr>
            <w:rFonts w:ascii="Times New Roman" w:hAnsi="Times New Roman" w:cs="Times New Roman"/>
            <w:noProof/>
            <w:sz w:val="20"/>
            <w:szCs w:val="20"/>
            <w:lang w:val="id-ID"/>
          </w:rPr>
          <w:t>2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E700F" w14:textId="77777777" w:rsidR="00D17199" w:rsidRDefault="00D17199" w:rsidP="00E42981">
      <w:pPr>
        <w:spacing w:after="0" w:line="240" w:lineRule="auto"/>
      </w:pPr>
      <w:r>
        <w:separator/>
      </w:r>
    </w:p>
  </w:footnote>
  <w:footnote w:type="continuationSeparator" w:id="0">
    <w:p w14:paraId="68EBE96A" w14:textId="77777777" w:rsidR="00D17199" w:rsidRDefault="00D17199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371B44"/>
    <w:multiLevelType w:val="hybridMultilevel"/>
    <w:tmpl w:val="FB30E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011CE"/>
    <w:multiLevelType w:val="hybridMultilevel"/>
    <w:tmpl w:val="79067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270ADD"/>
    <w:rsid w:val="002977CD"/>
    <w:rsid w:val="0030403E"/>
    <w:rsid w:val="00375E65"/>
    <w:rsid w:val="003768AC"/>
    <w:rsid w:val="0039253B"/>
    <w:rsid w:val="003B6A48"/>
    <w:rsid w:val="003C162D"/>
    <w:rsid w:val="00422967"/>
    <w:rsid w:val="004A75A5"/>
    <w:rsid w:val="004C3B1D"/>
    <w:rsid w:val="0053422B"/>
    <w:rsid w:val="0057679F"/>
    <w:rsid w:val="005A38B7"/>
    <w:rsid w:val="00682425"/>
    <w:rsid w:val="006D1912"/>
    <w:rsid w:val="006E2B11"/>
    <w:rsid w:val="006E39D6"/>
    <w:rsid w:val="006E6BDD"/>
    <w:rsid w:val="00705C85"/>
    <w:rsid w:val="00721016"/>
    <w:rsid w:val="00751EA8"/>
    <w:rsid w:val="0075435E"/>
    <w:rsid w:val="007A4D2B"/>
    <w:rsid w:val="007C6750"/>
    <w:rsid w:val="007E03E1"/>
    <w:rsid w:val="00803263"/>
    <w:rsid w:val="0080703D"/>
    <w:rsid w:val="008118CE"/>
    <w:rsid w:val="00814B61"/>
    <w:rsid w:val="00823004"/>
    <w:rsid w:val="008653CE"/>
    <w:rsid w:val="009164D1"/>
    <w:rsid w:val="009301B7"/>
    <w:rsid w:val="009571BC"/>
    <w:rsid w:val="00957D36"/>
    <w:rsid w:val="00A43EB6"/>
    <w:rsid w:val="00AB41D0"/>
    <w:rsid w:val="00AD32D1"/>
    <w:rsid w:val="00B02B66"/>
    <w:rsid w:val="00B0464D"/>
    <w:rsid w:val="00B509CF"/>
    <w:rsid w:val="00B87AA9"/>
    <w:rsid w:val="00B94326"/>
    <w:rsid w:val="00B97392"/>
    <w:rsid w:val="00C04B51"/>
    <w:rsid w:val="00C15188"/>
    <w:rsid w:val="00C304E8"/>
    <w:rsid w:val="00C935CE"/>
    <w:rsid w:val="00CB1E3E"/>
    <w:rsid w:val="00CC1BC4"/>
    <w:rsid w:val="00CD47ED"/>
    <w:rsid w:val="00CE0A6E"/>
    <w:rsid w:val="00CE0A93"/>
    <w:rsid w:val="00CE28E0"/>
    <w:rsid w:val="00D17199"/>
    <w:rsid w:val="00D24C62"/>
    <w:rsid w:val="00D66891"/>
    <w:rsid w:val="00DB4F2A"/>
    <w:rsid w:val="00E3414A"/>
    <w:rsid w:val="00E42981"/>
    <w:rsid w:val="00E61B08"/>
    <w:rsid w:val="00EC18B4"/>
    <w:rsid w:val="00EE779B"/>
    <w:rsid w:val="00EF09DE"/>
    <w:rsid w:val="00F130F0"/>
    <w:rsid w:val="00F346A9"/>
    <w:rsid w:val="00F37C0F"/>
    <w:rsid w:val="00F418C4"/>
    <w:rsid w:val="00F716A3"/>
    <w:rsid w:val="00F75193"/>
    <w:rsid w:val="00F84937"/>
    <w:rsid w:val="00F860E5"/>
    <w:rsid w:val="00FB2327"/>
    <w:rsid w:val="00FB6D69"/>
    <w:rsid w:val="00FC7A92"/>
    <w:rsid w:val="00FE2BD2"/>
    <w:rsid w:val="00FE7261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positori.unsil.ac.id/563/6/BAB%20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ri.co.id/banjarmasin/kabupaten-kota/1226109/kendaraan-milik-pemkab-tanah-bumbu-akan-dilelang-secara-o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lselpos.com/2021/10/14/pemkab-tanbu-lelang-ratusan-kendaraan-roda-2-dan-puluhan-roda-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0/14/pemkab-tanbu-lelang-ratusan-kendaraan-roda-2-dan-puluhan-roda-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E590-7EC6-4E2E-9577-02B18692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6</cp:revision>
  <dcterms:created xsi:type="dcterms:W3CDTF">2021-10-15T07:19:00Z</dcterms:created>
  <dcterms:modified xsi:type="dcterms:W3CDTF">2021-12-06T03:57:00Z</dcterms:modified>
</cp:coreProperties>
</file>