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44D4" w14:textId="29C99498" w:rsidR="00A51F5C" w:rsidRDefault="00A51F5C" w:rsidP="00A51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Kejaksaan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Masih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Tunggu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Penghitungan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Kerugian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Negara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BPK RI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Kasus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Dugaan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Korupsi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Koni</w:t>
      </w:r>
      <w:proofErr w:type="spellEnd"/>
      <w:r w:rsidRPr="00A51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F5C">
        <w:rPr>
          <w:rFonts w:ascii="Times New Roman" w:hAnsi="Times New Roman" w:cs="Times New Roman"/>
          <w:b/>
          <w:bCs/>
          <w:sz w:val="24"/>
          <w:szCs w:val="24"/>
        </w:rPr>
        <w:t>Banjarbaru</w:t>
      </w:r>
      <w:proofErr w:type="spellEnd"/>
    </w:p>
    <w:p w14:paraId="355665CF" w14:textId="77777777" w:rsidR="00A51F5C" w:rsidRPr="00A51F5C" w:rsidRDefault="00A51F5C" w:rsidP="00A51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5FEE061" w:rsidR="00E42981" w:rsidRPr="0009399B" w:rsidRDefault="00A51F5C" w:rsidP="00A51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986CD5A" wp14:editId="4ECA29C9">
            <wp:extent cx="2982351" cy="22304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jaksaan Masih Tunggu Penghitungan Kerugian Negara dari BPK RI pada Kasus Dugaan Korupsi Koni Banjarbaru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730" cy="224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2B7E3" w14:textId="77777777" w:rsidR="00A51F5C" w:rsidRDefault="00E42981" w:rsidP="00A51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80BCF5D" w14:textId="2108B678" w:rsidR="00A22281" w:rsidRDefault="00A51F5C" w:rsidP="00A51F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F5C">
        <w:rPr>
          <w:rFonts w:ascii="Times New Roman" w:hAnsi="Times New Roman" w:cs="Times New Roman"/>
          <w:bCs/>
          <w:i/>
          <w:sz w:val="20"/>
          <w:szCs w:val="20"/>
        </w:rPr>
        <w:t>https://kalselpos.com/2021/11/16/kejaksaan-masih-tunggu-penghitungan-kerugian-negara-dari-bpk-ri-pada-kasus-dugaan-korupsi-koni-banjarbaru/</w:t>
      </w:r>
      <w:r w:rsidR="007D5553" w:rsidRPr="00A51F5C">
        <w:rPr>
          <w:rFonts w:ascii="Times New Roman" w:hAnsi="Times New Roman" w:cs="Times New Roman"/>
          <w:bCs/>
          <w:i/>
          <w:sz w:val="20"/>
          <w:szCs w:val="20"/>
        </w:rPr>
        <w:br/>
      </w:r>
    </w:p>
    <w:p w14:paraId="5D0E5A6F" w14:textId="2CD14E7F" w:rsidR="00A51F5C" w:rsidRPr="006D52FD" w:rsidRDefault="00A51F5C" w:rsidP="006D52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Orahraga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Nasional Indonesia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Kejari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Erlianti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(BPK) RI.</w:t>
      </w:r>
    </w:p>
    <w:p w14:paraId="664CD948" w14:textId="662390AC" w:rsidR="00A51F5C" w:rsidRPr="006D52FD" w:rsidRDefault="00A51F5C" w:rsidP="006D52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Kendati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Erlianti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2F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hinga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tuntaskan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bebernya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(16/11).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Erlianti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Kejari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2FD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berkas-berkas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menjajaki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insyaallah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lanjutkan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akunya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</w:t>
      </w:r>
    </w:p>
    <w:p w14:paraId="0CC9DEB6" w14:textId="77777777" w:rsidR="00A51F5C" w:rsidRPr="006D52FD" w:rsidRDefault="00A51F5C" w:rsidP="006D52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Intel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Kejari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Nala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Arjunto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iPad DPRD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terungkap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iPad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pembuktiannya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</w:t>
      </w:r>
    </w:p>
    <w:p w14:paraId="3771A7B0" w14:textId="77777777" w:rsidR="00A51F5C" w:rsidRPr="006D52FD" w:rsidRDefault="00A51F5C" w:rsidP="006D52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Diterangkannya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BPK RI.”BPK RI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se Indonesia,”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</w:t>
      </w:r>
    </w:p>
    <w:p w14:paraId="291B795E" w14:textId="77777777" w:rsidR="00A51F5C" w:rsidRPr="006D52FD" w:rsidRDefault="00A51F5C" w:rsidP="006D52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Diungkapkannya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2F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BPK RI agar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BPKP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meudah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</w:t>
      </w:r>
    </w:p>
    <w:p w14:paraId="1E0BD94D" w14:textId="77777777" w:rsidR="00A51F5C" w:rsidRPr="006D52FD" w:rsidRDefault="00A51F5C" w:rsidP="006D52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FD">
        <w:rPr>
          <w:rFonts w:ascii="Times New Roman" w:hAnsi="Times New Roman" w:cs="Times New Roman"/>
          <w:sz w:val="24"/>
          <w:szCs w:val="24"/>
        </w:rPr>
        <w:t xml:space="preserve">“Agar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tandasnya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</w:t>
      </w:r>
    </w:p>
    <w:p w14:paraId="43003E71" w14:textId="77777777" w:rsidR="00A51F5C" w:rsidRPr="006D52FD" w:rsidRDefault="00A51F5C" w:rsidP="006D52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1D190EA0" w:rsidR="00E42981" w:rsidRPr="006D52FD" w:rsidRDefault="00814B61" w:rsidP="006D52F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6D52FD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6D52FD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6461489F" w:rsidR="00FE10C4" w:rsidRPr="006D52FD" w:rsidRDefault="007C729D" w:rsidP="006D52F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A51F5C" w:rsidRPr="006D52FD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https://kalselpos.com/2021/11/16/kejaksaan-masih-tunggu-penghitungan-kerugian-negara-dari-bpk-ri-pada-kasus-dugaan-korupsi-koni-banjarbaru/</w:t>
        </w:r>
      </w:hyperlink>
      <w:r w:rsidR="0039253B" w:rsidRPr="006D52FD">
        <w:rPr>
          <w:rFonts w:ascii="Times New Roman" w:hAnsi="Times New Roman" w:cs="Times New Roman"/>
          <w:sz w:val="24"/>
          <w:szCs w:val="24"/>
        </w:rPr>
        <w:t>,</w:t>
      </w:r>
      <w:r w:rsidR="00A51F5C"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Kejaksaan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Masih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Tunggu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Penghitungan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Kerugian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Negara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dari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BPK RI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Kasus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Dugaan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Korupsi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Koni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Banjarbaru</w:t>
      </w:r>
      <w:proofErr w:type="spellEnd"/>
      <w:r w:rsidR="00647EA9" w:rsidRPr="006D52FD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6D52FD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6D52FD">
        <w:rPr>
          <w:rFonts w:ascii="Times New Roman" w:hAnsi="Times New Roman" w:cs="Times New Roman"/>
          <w:sz w:val="24"/>
          <w:szCs w:val="24"/>
        </w:rPr>
        <w:t>3</w:t>
      </w:r>
      <w:r w:rsidR="00FE10C4"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6D52F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6D52FD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6D52FD">
        <w:rPr>
          <w:rFonts w:ascii="Times New Roman" w:hAnsi="Times New Roman" w:cs="Times New Roman"/>
          <w:sz w:val="24"/>
          <w:szCs w:val="24"/>
        </w:rPr>
        <w:t>.</w:t>
      </w:r>
      <w:r w:rsidR="0039253B" w:rsidRPr="006D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2C10F" w14:textId="1597378E" w:rsidR="008D3249" w:rsidRPr="006D52FD" w:rsidRDefault="007C729D" w:rsidP="006D52F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A51F5C" w:rsidRPr="006D52FD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https://independensi.com/2021/08/23/kasus-dana-hibah-koni-kejagung-masih-tunggu-perhitungan-kerugian-negara/</w:t>
        </w:r>
      </w:hyperlink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Kasus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Dana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Hibah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KONI,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Kejagung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Masih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Tunggu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Perhitungan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>Kerugian</w:t>
      </w:r>
      <w:proofErr w:type="spellEnd"/>
      <w:r w:rsidR="00A51F5C" w:rsidRPr="006D52FD">
        <w:rPr>
          <w:rFonts w:ascii="Times New Roman" w:hAnsi="Times New Roman" w:cs="Times New Roman"/>
          <w:bCs/>
          <w:i/>
          <w:sz w:val="24"/>
          <w:szCs w:val="24"/>
        </w:rPr>
        <w:t xml:space="preserve"> Negara, </w:t>
      </w:r>
      <w:r w:rsidR="00A51F5C" w:rsidRPr="006D52F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51F5C" w:rsidRPr="006D52F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A51F5C" w:rsidRPr="006D52FD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6AA9EDF" w14:textId="60A51AD1" w:rsidR="00E42981" w:rsidRPr="006D52FD" w:rsidRDefault="00E42981" w:rsidP="006D52F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6D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6D52FD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>:</w:t>
      </w:r>
    </w:p>
    <w:p w14:paraId="56A09F6C" w14:textId="77777777" w:rsidR="00A22281" w:rsidRPr="006D52FD" w:rsidRDefault="00A22281" w:rsidP="006D52F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</w:p>
    <w:p w14:paraId="6B10C900" w14:textId="77777777" w:rsidR="00A22281" w:rsidRPr="006D52FD" w:rsidRDefault="00A22281" w:rsidP="006D52FD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14:paraId="7DFBEBE0" w14:textId="77777777" w:rsidR="00A22281" w:rsidRPr="006D52FD" w:rsidRDefault="00A22281" w:rsidP="006D52FD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“Black’s Law Dictionary” Henry Campbell Black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): “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lain”.</w:t>
      </w:r>
    </w:p>
    <w:p w14:paraId="4494D959" w14:textId="77777777" w:rsidR="00A22281" w:rsidRPr="006D52FD" w:rsidRDefault="00A22281" w:rsidP="006D52FD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(UU KPK). 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D63179B" w14:textId="77777777" w:rsidR="00A22281" w:rsidRPr="006D52FD" w:rsidRDefault="00A22281" w:rsidP="006D52FD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D5AD7" w14:textId="77777777" w:rsidR="00A22281" w:rsidRPr="006D52FD" w:rsidRDefault="00A22281" w:rsidP="006D52FD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31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1999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Pemberantasan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2D986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FD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3BFC76A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52F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paling lama 20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 200.000.000.00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 1.000.000.000</w:t>
      </w:r>
      <w:proofErr w:type="gramStart"/>
      <w:r w:rsidRPr="006D52F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6D5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2F521044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52FD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6C39C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FD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07CB3FBF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paling lama 20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. 50.000.000 (lima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 1.000.000.000,00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rupiah).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Subbag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Kalimantan Selatan 3</w:t>
      </w:r>
    </w:p>
    <w:p w14:paraId="1B593078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FD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6D52FD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6D52FD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47A53A45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52F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:</w:t>
      </w:r>
    </w:p>
    <w:p w14:paraId="28B93844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2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5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perampasan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mengantikan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;</w:t>
      </w:r>
    </w:p>
    <w:p w14:paraId="64B06251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2F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D5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;</w:t>
      </w:r>
    </w:p>
    <w:p w14:paraId="5DB8A08E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2F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D5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paling lama 1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;</w:t>
      </w:r>
    </w:p>
    <w:p w14:paraId="0EF44D58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2F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D5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</w:t>
      </w:r>
    </w:p>
    <w:p w14:paraId="4D47CFB5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52F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b paling lama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dilelang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</w:t>
      </w:r>
    </w:p>
    <w:p w14:paraId="56F82912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52F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maksimum</w:t>
      </w:r>
      <w:proofErr w:type="spellEnd"/>
    </w:p>
    <w:p w14:paraId="094C7AF9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52FD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14:paraId="5616575B" w14:textId="77777777" w:rsidR="00A22281" w:rsidRPr="006D52FD" w:rsidRDefault="00A22281" w:rsidP="006D52FD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52FD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proofErr w:type="gram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F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6D52FD">
        <w:rPr>
          <w:rFonts w:ascii="Times New Roman" w:hAnsi="Times New Roman" w:cs="Times New Roman"/>
          <w:sz w:val="24"/>
          <w:szCs w:val="24"/>
        </w:rPr>
        <w:t>.</w:t>
      </w:r>
    </w:p>
    <w:p w14:paraId="18634CB6" w14:textId="00E8B8D7" w:rsidR="0009399B" w:rsidRPr="006D52FD" w:rsidRDefault="0009399B" w:rsidP="006D52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399B" w:rsidRPr="006D52FD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02284" w14:textId="77777777" w:rsidR="007C729D" w:rsidRDefault="007C729D" w:rsidP="00E42981">
      <w:pPr>
        <w:spacing w:after="0" w:line="240" w:lineRule="auto"/>
      </w:pPr>
      <w:r>
        <w:separator/>
      </w:r>
    </w:p>
  </w:endnote>
  <w:endnote w:type="continuationSeparator" w:id="0">
    <w:p w14:paraId="55C25DEF" w14:textId="77777777" w:rsidR="007C729D" w:rsidRDefault="007C729D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4A69F9F1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52FD" w:rsidRPr="006D52FD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189A" w14:textId="77777777" w:rsidR="007C729D" w:rsidRDefault="007C729D" w:rsidP="00E42981">
      <w:pPr>
        <w:spacing w:after="0" w:line="240" w:lineRule="auto"/>
      </w:pPr>
      <w:r>
        <w:separator/>
      </w:r>
    </w:p>
  </w:footnote>
  <w:footnote w:type="continuationSeparator" w:id="0">
    <w:p w14:paraId="0C6974D6" w14:textId="77777777" w:rsidR="007C729D" w:rsidRDefault="007C729D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BD14828_"/>
      </v:shape>
    </w:pict>
  </w:numPicBullet>
  <w:abstractNum w:abstractNumId="0" w15:restartNumberingAfterBreak="0">
    <w:nsid w:val="04FF4F4E"/>
    <w:multiLevelType w:val="hybridMultilevel"/>
    <w:tmpl w:val="D68C5F46"/>
    <w:lvl w:ilvl="0" w:tplc="CDEC7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943DC1"/>
    <w:multiLevelType w:val="hybridMultilevel"/>
    <w:tmpl w:val="AAF28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537"/>
    <w:multiLevelType w:val="hybridMultilevel"/>
    <w:tmpl w:val="7786E52C"/>
    <w:lvl w:ilvl="0" w:tplc="BF4664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7CED"/>
    <w:multiLevelType w:val="hybridMultilevel"/>
    <w:tmpl w:val="60FE868E"/>
    <w:lvl w:ilvl="0" w:tplc="F8B6FABE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D5DDA"/>
    <w:multiLevelType w:val="hybridMultilevel"/>
    <w:tmpl w:val="9D2C32D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33BCD"/>
    <w:multiLevelType w:val="hybridMultilevel"/>
    <w:tmpl w:val="B57CDE6E"/>
    <w:lvl w:ilvl="0" w:tplc="04090019">
      <w:start w:val="1"/>
      <w:numFmt w:val="lowerLetter"/>
      <w:lvlText w:val="%1."/>
      <w:lvlJc w:val="left"/>
      <w:pPr>
        <w:ind w:left="1923" w:hanging="360"/>
      </w:p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3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23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9"/>
  </w:num>
  <w:num w:numId="16">
    <w:abstractNumId w:val="4"/>
  </w:num>
  <w:num w:numId="17">
    <w:abstractNumId w:val="2"/>
  </w:num>
  <w:num w:numId="18">
    <w:abstractNumId w:val="12"/>
  </w:num>
  <w:num w:numId="19">
    <w:abstractNumId w:val="3"/>
  </w:num>
  <w:num w:numId="20">
    <w:abstractNumId w:val="6"/>
  </w:num>
  <w:num w:numId="21">
    <w:abstractNumId w:val="18"/>
  </w:num>
  <w:num w:numId="22">
    <w:abstractNumId w:val="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95A9E"/>
    <w:rsid w:val="002004B8"/>
    <w:rsid w:val="002701BF"/>
    <w:rsid w:val="002977CD"/>
    <w:rsid w:val="002A1003"/>
    <w:rsid w:val="003637D3"/>
    <w:rsid w:val="00375E65"/>
    <w:rsid w:val="003768AC"/>
    <w:rsid w:val="0039253B"/>
    <w:rsid w:val="003B6A48"/>
    <w:rsid w:val="003C4F38"/>
    <w:rsid w:val="00402DCC"/>
    <w:rsid w:val="00422967"/>
    <w:rsid w:val="004A75A5"/>
    <w:rsid w:val="00514413"/>
    <w:rsid w:val="0053422B"/>
    <w:rsid w:val="005A38B7"/>
    <w:rsid w:val="005B27BE"/>
    <w:rsid w:val="005D3E11"/>
    <w:rsid w:val="00647EA9"/>
    <w:rsid w:val="006679E8"/>
    <w:rsid w:val="006D1912"/>
    <w:rsid w:val="006D52FD"/>
    <w:rsid w:val="00705C85"/>
    <w:rsid w:val="00734126"/>
    <w:rsid w:val="007C729D"/>
    <w:rsid w:val="007D5553"/>
    <w:rsid w:val="007E03E1"/>
    <w:rsid w:val="00803263"/>
    <w:rsid w:val="00814B61"/>
    <w:rsid w:val="00823004"/>
    <w:rsid w:val="008D3249"/>
    <w:rsid w:val="00911469"/>
    <w:rsid w:val="00957D36"/>
    <w:rsid w:val="009712D3"/>
    <w:rsid w:val="00A22281"/>
    <w:rsid w:val="00A503B4"/>
    <w:rsid w:val="00A51F5C"/>
    <w:rsid w:val="00A5324A"/>
    <w:rsid w:val="00A94065"/>
    <w:rsid w:val="00AA083A"/>
    <w:rsid w:val="00AC6BBD"/>
    <w:rsid w:val="00AD32D1"/>
    <w:rsid w:val="00B509CF"/>
    <w:rsid w:val="00B87AA9"/>
    <w:rsid w:val="00B87EEE"/>
    <w:rsid w:val="00B94326"/>
    <w:rsid w:val="00BB4D8D"/>
    <w:rsid w:val="00C304E8"/>
    <w:rsid w:val="00CA7549"/>
    <w:rsid w:val="00CD47ED"/>
    <w:rsid w:val="00CE28E0"/>
    <w:rsid w:val="00CE49CA"/>
    <w:rsid w:val="00DB4F2A"/>
    <w:rsid w:val="00DD0182"/>
    <w:rsid w:val="00E42981"/>
    <w:rsid w:val="00E54638"/>
    <w:rsid w:val="00E5782B"/>
    <w:rsid w:val="00EC7231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D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dependensi.com/2021/08/23/kasus-dana-hibah-koni-kejagung-masih-tunggu-perhitungan-kerugian-nega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6/kejaksaan-masih-tunggu-penghitungan-kerugian-negara-dari-bpk-ri-pada-kasus-dugaan-korupsi-koni-banjarba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F78B-4A6A-4458-A92C-6D9B7AE4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3</cp:revision>
  <dcterms:created xsi:type="dcterms:W3CDTF">2021-12-03T05:48:00Z</dcterms:created>
  <dcterms:modified xsi:type="dcterms:W3CDTF">2021-12-06T03:09:00Z</dcterms:modified>
</cp:coreProperties>
</file>