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AD29A" w14:textId="77777777" w:rsidR="00DB384E" w:rsidRPr="00DB384E" w:rsidRDefault="00DB384E" w:rsidP="00DB3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384E">
        <w:rPr>
          <w:rFonts w:ascii="Times New Roman" w:hAnsi="Times New Roman" w:cs="Times New Roman"/>
          <w:b/>
          <w:bCs/>
          <w:sz w:val="24"/>
          <w:szCs w:val="24"/>
        </w:rPr>
        <w:t>Kebijakan</w:t>
      </w:r>
      <w:proofErr w:type="spellEnd"/>
      <w:r w:rsidRPr="00DB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384E"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  <w:r w:rsidRPr="00DB384E">
        <w:rPr>
          <w:rFonts w:ascii="Times New Roman" w:hAnsi="Times New Roman" w:cs="Times New Roman"/>
          <w:b/>
          <w:bCs/>
          <w:sz w:val="24"/>
          <w:szCs w:val="24"/>
        </w:rPr>
        <w:t xml:space="preserve"> APBD HST </w:t>
      </w:r>
      <w:proofErr w:type="spellStart"/>
      <w:r w:rsidRPr="00DB384E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DB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384E">
        <w:rPr>
          <w:rFonts w:ascii="Times New Roman" w:hAnsi="Times New Roman" w:cs="Times New Roman"/>
          <w:b/>
          <w:bCs/>
          <w:sz w:val="24"/>
          <w:szCs w:val="24"/>
        </w:rPr>
        <w:t>rancangan</w:t>
      </w:r>
      <w:proofErr w:type="spellEnd"/>
      <w:r w:rsidRPr="00DB384E">
        <w:rPr>
          <w:rFonts w:ascii="Times New Roman" w:hAnsi="Times New Roman" w:cs="Times New Roman"/>
          <w:b/>
          <w:bCs/>
          <w:sz w:val="24"/>
          <w:szCs w:val="24"/>
        </w:rPr>
        <w:t xml:space="preserve"> PPAS 2022 </w:t>
      </w:r>
      <w:proofErr w:type="spellStart"/>
      <w:r w:rsidRPr="00DB384E">
        <w:rPr>
          <w:rFonts w:ascii="Times New Roman" w:hAnsi="Times New Roman" w:cs="Times New Roman"/>
          <w:b/>
          <w:bCs/>
          <w:sz w:val="24"/>
          <w:szCs w:val="24"/>
        </w:rPr>
        <w:t>disahkan</w:t>
      </w:r>
      <w:proofErr w:type="spellEnd"/>
    </w:p>
    <w:p w14:paraId="4BDC8172" w14:textId="77777777" w:rsidR="00482C16" w:rsidRDefault="00482C16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0694DA85" w:rsidR="00E42981" w:rsidRDefault="00DB384E" w:rsidP="00A54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EFDB923" wp14:editId="30B076E8">
            <wp:extent cx="3200400" cy="2135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bijakan Umum APBD HST dan rancangan PPAS 2022 disahk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009" cy="214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85C97F4" w:rsidR="00E42981" w:rsidRPr="00DB384E" w:rsidRDefault="00E42981" w:rsidP="00482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B384E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DB38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DB384E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DB384E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DB384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33E43E9" w14:textId="18498F5B" w:rsidR="00DB384E" w:rsidRDefault="00207687" w:rsidP="00482C1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hyperlink r:id="rId9" w:history="1">
        <w:r w:rsidR="00DB384E" w:rsidRPr="003D600A">
          <w:rPr>
            <w:rStyle w:val="Hyperlink"/>
            <w:rFonts w:ascii="Times New Roman" w:hAnsi="Times New Roman" w:cs="Times New Roman"/>
            <w:bCs/>
            <w:i/>
            <w:sz w:val="20"/>
            <w:szCs w:val="20"/>
          </w:rPr>
          <w:t>https://kalsel.antaranews.com/berita/297717/kebijakan-umum-apbd-hst-dan-rancangan-ppas-2022-disahkan</w:t>
        </w:r>
      </w:hyperlink>
    </w:p>
    <w:p w14:paraId="55B53037" w14:textId="77777777" w:rsidR="00DB384E" w:rsidRPr="00DB384E" w:rsidRDefault="00DB384E" w:rsidP="00482C1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7C1EC128" w14:textId="3E3BF692" w:rsidR="00DB384E" w:rsidRPr="00A549E9" w:rsidRDefault="00DB384E" w:rsidP="00DB38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Hulu Sungai Tengah (HST)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DPRD HST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(APBD)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(PPAS)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(30/11).</w:t>
      </w:r>
    </w:p>
    <w:p w14:paraId="68CD9F68" w14:textId="685F2A4E" w:rsidR="00DB384E" w:rsidRPr="00A549E9" w:rsidRDefault="00DB384E" w:rsidP="00DB38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Oktafiandi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DPRD HST 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Rachmadi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OPD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HST.</w:t>
      </w:r>
    </w:p>
    <w:p w14:paraId="6837935E" w14:textId="4306480C" w:rsidR="00DB384E" w:rsidRPr="00A549E9" w:rsidRDefault="00DB384E" w:rsidP="00DB38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Draf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dibacakan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Sekwan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2022.</w:t>
      </w:r>
    </w:p>
    <w:p w14:paraId="7F846CB4" w14:textId="1521850A" w:rsidR="00DB384E" w:rsidRPr="00A549E9" w:rsidRDefault="00DB384E" w:rsidP="00DB38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asumsi-asumsi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2022,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2022.</w:t>
      </w:r>
    </w:p>
    <w:p w14:paraId="5CAD4CE6" w14:textId="3427D23C" w:rsidR="00DB384E" w:rsidRPr="00A549E9" w:rsidRDefault="00DB384E" w:rsidP="00DB38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2022,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2022.</w:t>
      </w:r>
    </w:p>
    <w:p w14:paraId="648F0060" w14:textId="1A7BAE2B" w:rsidR="00B27E29" w:rsidRPr="00A549E9" w:rsidRDefault="00DB384E" w:rsidP="00DB38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9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per-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117ABF17" w14:textId="77777777" w:rsidR="00482C16" w:rsidRPr="00A549E9" w:rsidRDefault="00482C16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A549E9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A549E9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A549E9">
        <w:rPr>
          <w:rFonts w:ascii="Times New Roman" w:hAnsi="Times New Roman" w:cs="Times New Roman"/>
          <w:b/>
          <w:sz w:val="24"/>
          <w:szCs w:val="24"/>
        </w:rPr>
        <w:t>:</w:t>
      </w:r>
    </w:p>
    <w:p w14:paraId="2A885E44" w14:textId="4B1F60B5" w:rsidR="00B27E29" w:rsidRPr="00A549E9" w:rsidRDefault="00207687" w:rsidP="00DB384E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DB384E" w:rsidRPr="00A549E9">
          <w:rPr>
            <w:rStyle w:val="Hyperlink"/>
            <w:rFonts w:ascii="Times New Roman" w:hAnsi="Times New Roman" w:cs="Times New Roman"/>
            <w:sz w:val="24"/>
            <w:szCs w:val="24"/>
          </w:rPr>
          <w:t>https://kalsel.antaranews.com/berita/297717/kebijakan-umum-apbd-hst-dan-rancangan-ppas-2022-disahkan</w:t>
        </w:r>
      </w:hyperlink>
      <w:r w:rsidR="0039253B" w:rsidRPr="00A549E9">
        <w:rPr>
          <w:rFonts w:ascii="Times New Roman" w:hAnsi="Times New Roman" w:cs="Times New Roman"/>
          <w:sz w:val="24"/>
          <w:szCs w:val="24"/>
        </w:rPr>
        <w:t>,</w:t>
      </w:r>
      <w:r w:rsidR="00DB384E"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>Kebijakan</w:t>
      </w:r>
      <w:proofErr w:type="spellEnd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>Umum</w:t>
      </w:r>
      <w:proofErr w:type="spellEnd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 xml:space="preserve"> APBD HST </w:t>
      </w:r>
      <w:proofErr w:type="spellStart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>rancangan</w:t>
      </w:r>
      <w:proofErr w:type="spellEnd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 xml:space="preserve"> PPAS 2022 </w:t>
      </w:r>
      <w:proofErr w:type="spellStart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>disahkan</w:t>
      </w:r>
      <w:proofErr w:type="spellEnd"/>
      <w:r w:rsidR="00B27E29" w:rsidRPr="00A549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7E29" w:rsidRPr="00A549E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B27E29" w:rsidRPr="00A549E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27E29" w:rsidRPr="00A549E9">
        <w:rPr>
          <w:rFonts w:ascii="Times New Roman" w:hAnsi="Times New Roman" w:cs="Times New Roman"/>
          <w:sz w:val="24"/>
          <w:szCs w:val="24"/>
        </w:rPr>
        <w:t xml:space="preserve"> </w:t>
      </w:r>
      <w:r w:rsidR="006D1912" w:rsidRPr="00A549E9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CE28E0" w:rsidRPr="00A549E9">
        <w:rPr>
          <w:rFonts w:ascii="Times New Roman" w:hAnsi="Times New Roman" w:cs="Times New Roman"/>
          <w:sz w:val="24"/>
          <w:szCs w:val="24"/>
        </w:rPr>
        <w:t>.</w:t>
      </w:r>
      <w:r w:rsidR="0039253B" w:rsidRPr="00A54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4640E" w14:textId="2639E03D" w:rsidR="00482C16" w:rsidRPr="00A549E9" w:rsidRDefault="00207687" w:rsidP="00DB384E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DB384E" w:rsidRPr="00A549E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https://apahabar.com/2020/12/tok-apbd-hst-2021-ditetapkan-rp-118-t-simak-rinciannya/</w:t>
        </w:r>
      </w:hyperlink>
      <w:r w:rsidR="00DB384E" w:rsidRPr="00A549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>Tok</w:t>
      </w:r>
      <w:proofErr w:type="spellEnd"/>
      <w:proofErr w:type="gramStart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>!,</w:t>
      </w:r>
      <w:proofErr w:type="gramEnd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 xml:space="preserve"> APBD HST 2021 </w:t>
      </w:r>
      <w:proofErr w:type="spellStart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>Ditetapkan</w:t>
      </w:r>
      <w:proofErr w:type="spellEnd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>Rp</w:t>
      </w:r>
      <w:proofErr w:type="spellEnd"/>
      <w:r w:rsidR="00DB384E" w:rsidRPr="00A549E9">
        <w:rPr>
          <w:rFonts w:ascii="Times New Roman" w:hAnsi="Times New Roman" w:cs="Times New Roman"/>
          <w:bCs/>
          <w:i/>
          <w:sz w:val="24"/>
          <w:szCs w:val="24"/>
        </w:rPr>
        <w:t xml:space="preserve"> 1,18 T</w:t>
      </w:r>
      <w:r w:rsidR="00DB384E" w:rsidRPr="00A549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384E" w:rsidRPr="00A549E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B384E" w:rsidRPr="00A549E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DB384E" w:rsidRPr="00A549E9">
        <w:rPr>
          <w:rFonts w:ascii="Times New Roman" w:hAnsi="Times New Roman" w:cs="Times New Roman"/>
          <w:sz w:val="24"/>
          <w:szCs w:val="24"/>
        </w:rPr>
        <w:t xml:space="preserve">  2021.</w:t>
      </w:r>
    </w:p>
    <w:p w14:paraId="26031C89" w14:textId="77777777" w:rsidR="00C304E8" w:rsidRPr="00A549E9" w:rsidRDefault="00C304E8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3D0C9028" w:rsidR="00E42981" w:rsidRPr="00A549E9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A549E9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A549E9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A549E9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A549E9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49E9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A549E9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49E9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A549E9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A549E9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A549E9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A549E9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49E9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A549E9" w:rsidRDefault="00C304E8" w:rsidP="00C304E8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A549E9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A549E9" w:rsidRDefault="00C304E8" w:rsidP="00C304E8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9E9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A549E9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A549E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A549E9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A549E9" w:rsidRDefault="00C304E8" w:rsidP="00C304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1F8EBA34" w14:textId="77777777" w:rsidR="00B509CF" w:rsidRPr="00A549E9" w:rsidRDefault="00B509CF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A549E9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57FF1" w14:textId="77777777" w:rsidR="00207687" w:rsidRDefault="00207687" w:rsidP="00E42981">
      <w:pPr>
        <w:spacing w:after="0" w:line="240" w:lineRule="auto"/>
      </w:pPr>
      <w:r>
        <w:separator/>
      </w:r>
    </w:p>
  </w:endnote>
  <w:endnote w:type="continuationSeparator" w:id="0">
    <w:p w14:paraId="47D1A9C1" w14:textId="77777777" w:rsidR="00207687" w:rsidRDefault="00207687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A14C52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49E9" w:rsidRPr="00A549E9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DDAFA" w14:textId="77777777" w:rsidR="00207687" w:rsidRDefault="00207687" w:rsidP="00E42981">
      <w:pPr>
        <w:spacing w:after="0" w:line="240" w:lineRule="auto"/>
      </w:pPr>
      <w:r>
        <w:separator/>
      </w:r>
    </w:p>
  </w:footnote>
  <w:footnote w:type="continuationSeparator" w:id="0">
    <w:p w14:paraId="4C5A4110" w14:textId="77777777" w:rsidR="00207687" w:rsidRDefault="00207687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0A4D"/>
    <w:rsid w:val="00207687"/>
    <w:rsid w:val="002701BF"/>
    <w:rsid w:val="002977CD"/>
    <w:rsid w:val="002D1057"/>
    <w:rsid w:val="00327DEB"/>
    <w:rsid w:val="00375E65"/>
    <w:rsid w:val="003768AC"/>
    <w:rsid w:val="0039253B"/>
    <w:rsid w:val="003B6A48"/>
    <w:rsid w:val="00422967"/>
    <w:rsid w:val="00482C16"/>
    <w:rsid w:val="004A75A5"/>
    <w:rsid w:val="0053422B"/>
    <w:rsid w:val="005A38B7"/>
    <w:rsid w:val="006D1912"/>
    <w:rsid w:val="00705C85"/>
    <w:rsid w:val="007E03E1"/>
    <w:rsid w:val="007E5E36"/>
    <w:rsid w:val="00803263"/>
    <w:rsid w:val="00814B61"/>
    <w:rsid w:val="00823004"/>
    <w:rsid w:val="00957D36"/>
    <w:rsid w:val="00A4766C"/>
    <w:rsid w:val="00A549E9"/>
    <w:rsid w:val="00AD32D1"/>
    <w:rsid w:val="00B27E29"/>
    <w:rsid w:val="00B509CF"/>
    <w:rsid w:val="00B87AA9"/>
    <w:rsid w:val="00B94326"/>
    <w:rsid w:val="00C304E8"/>
    <w:rsid w:val="00CD47ED"/>
    <w:rsid w:val="00CE28E0"/>
    <w:rsid w:val="00DA020E"/>
    <w:rsid w:val="00DB384E"/>
    <w:rsid w:val="00DB4F2A"/>
    <w:rsid w:val="00E42981"/>
    <w:rsid w:val="00EA562B"/>
    <w:rsid w:val="00F37C0F"/>
    <w:rsid w:val="00F418C4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habar.com/2020/12/tok-apbd-hst-2021-ditetapkan-rp-118-t-simak-rinciann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97717/kebijakan-umum-apbd-hst-dan-rancangan-ppas-2022-disahk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.antaranews.com/berita/297717/kebijakan-umum-apbd-hst-dan-rancangan-ppas-2022-disahk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19EE-6136-4FC7-8E57-2BA1A98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2021-12-02T14:15:00Z</dcterms:created>
  <dcterms:modified xsi:type="dcterms:W3CDTF">2021-12-06T03:17:00Z</dcterms:modified>
</cp:coreProperties>
</file>