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DCD7" w14:textId="7BDDB7F3" w:rsidR="000752B5" w:rsidRDefault="000752B5" w:rsidP="00075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52B5">
        <w:rPr>
          <w:rFonts w:ascii="Times New Roman" w:hAnsi="Times New Roman" w:cs="Times New Roman"/>
          <w:b/>
          <w:bCs/>
          <w:sz w:val="24"/>
          <w:szCs w:val="24"/>
        </w:rPr>
        <w:t>Gubernur</w:t>
      </w:r>
      <w:proofErr w:type="spellEnd"/>
      <w:r w:rsidRPr="00075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2B5">
        <w:rPr>
          <w:rFonts w:ascii="Times New Roman" w:hAnsi="Times New Roman" w:cs="Times New Roman"/>
          <w:b/>
          <w:bCs/>
          <w:sz w:val="24"/>
          <w:szCs w:val="24"/>
        </w:rPr>
        <w:t>Kalsel</w:t>
      </w:r>
      <w:proofErr w:type="spellEnd"/>
      <w:r w:rsidRPr="00075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2B5">
        <w:rPr>
          <w:rFonts w:ascii="Times New Roman" w:hAnsi="Times New Roman" w:cs="Times New Roman"/>
          <w:b/>
          <w:bCs/>
          <w:sz w:val="24"/>
          <w:szCs w:val="24"/>
        </w:rPr>
        <w:t>Terima</w:t>
      </w:r>
      <w:proofErr w:type="spellEnd"/>
      <w:r w:rsidRPr="000752B5">
        <w:rPr>
          <w:rFonts w:ascii="Times New Roman" w:hAnsi="Times New Roman" w:cs="Times New Roman"/>
          <w:b/>
          <w:bCs/>
          <w:sz w:val="24"/>
          <w:szCs w:val="24"/>
        </w:rPr>
        <w:t xml:space="preserve"> DIPA </w:t>
      </w:r>
      <w:proofErr w:type="spellStart"/>
      <w:r w:rsidRPr="000752B5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0752B5">
        <w:rPr>
          <w:rFonts w:ascii="Times New Roman" w:hAnsi="Times New Roman" w:cs="Times New Roman"/>
          <w:b/>
          <w:bCs/>
          <w:sz w:val="24"/>
          <w:szCs w:val="24"/>
        </w:rPr>
        <w:t xml:space="preserve"> TKDD </w:t>
      </w:r>
      <w:proofErr w:type="spellStart"/>
      <w:r w:rsidRPr="000752B5">
        <w:rPr>
          <w:rFonts w:ascii="Times New Roman" w:hAnsi="Times New Roman" w:cs="Times New Roman"/>
          <w:b/>
          <w:bCs/>
          <w:sz w:val="24"/>
          <w:szCs w:val="24"/>
        </w:rPr>
        <w:t>Sebesar</w:t>
      </w:r>
      <w:proofErr w:type="spellEnd"/>
      <w:r w:rsidRPr="00075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2B5">
        <w:rPr>
          <w:rFonts w:ascii="Times New Roman" w:hAnsi="Times New Roman" w:cs="Times New Roman"/>
          <w:b/>
          <w:bCs/>
          <w:sz w:val="24"/>
          <w:szCs w:val="24"/>
        </w:rPr>
        <w:t>Rp</w:t>
      </w:r>
      <w:proofErr w:type="spellEnd"/>
      <w:r w:rsidRPr="000752B5">
        <w:rPr>
          <w:rFonts w:ascii="Times New Roman" w:hAnsi="Times New Roman" w:cs="Times New Roman"/>
          <w:b/>
          <w:bCs/>
          <w:sz w:val="24"/>
          <w:szCs w:val="24"/>
        </w:rPr>
        <w:t xml:space="preserve"> 25 T</w:t>
      </w:r>
    </w:p>
    <w:p w14:paraId="03E6EF60" w14:textId="77777777" w:rsidR="000752B5" w:rsidRPr="000752B5" w:rsidRDefault="000752B5" w:rsidP="00075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4AF2B" w14:textId="237A97F1" w:rsidR="00FC7FED" w:rsidRPr="0009399B" w:rsidRDefault="000752B5" w:rsidP="00075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91DED6A" wp14:editId="52F711CB">
            <wp:extent cx="3078480" cy="2056299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bernur Kalsel Terima DIPA dan TKDD Sebesar Rp 25 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44" cy="206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3873E7BE" w:rsidR="00E42981" w:rsidRPr="007D5553" w:rsidRDefault="00E42981" w:rsidP="00FC7F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hyperlink r:id="rId9" w:history="1">
        <w:r w:rsidR="000752B5" w:rsidRPr="003B2921">
          <w:rPr>
            <w:rStyle w:val="Hyperlink"/>
            <w:rFonts w:ascii="Times New Roman" w:hAnsi="Times New Roman" w:cs="Times New Roman"/>
            <w:bCs/>
            <w:i/>
            <w:sz w:val="20"/>
            <w:szCs w:val="20"/>
          </w:rPr>
          <w:t>https://starbanjar.com/read/pemprov-kalsel-terima-dipa-tkdd-2022-rp-25-triliun-turun-dari-tahun-sebelumnya</w:t>
        </w:r>
      </w:hyperlink>
      <w:r w:rsidR="000752B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7F2FEED2" w14:textId="132226DC" w:rsidR="000752B5" w:rsidRDefault="000752B5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9CAD0" w14:textId="54392ADD" w:rsidR="000752B5" w:rsidRPr="008348C1" w:rsidRDefault="000752B5" w:rsidP="000752B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Kalimantan Selatan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(DIPA)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(TKDD)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DIPA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TKDD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RP 27,715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.</w:t>
      </w:r>
    </w:p>
    <w:p w14:paraId="7CC66826" w14:textId="77777777" w:rsidR="000752B5" w:rsidRPr="008348C1" w:rsidRDefault="000752B5" w:rsidP="000752B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DIPA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TKDD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Jokowi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(29/11/2021).</w:t>
      </w:r>
    </w:p>
    <w:p w14:paraId="75B5DAA3" w14:textId="192FDC7C" w:rsidR="000752B5" w:rsidRPr="008348C1" w:rsidRDefault="000752B5" w:rsidP="000752B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DIPA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TKDD yang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harmonisasi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SDM di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. "Dana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dioptimalkan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ekstrem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outlook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8348C1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8348C1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5,7%.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3%.</w:t>
      </w:r>
    </w:p>
    <w:p w14:paraId="5C91947A" w14:textId="77777777" w:rsidR="000752B5" w:rsidRPr="008348C1" w:rsidRDefault="000752B5" w:rsidP="000752B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postur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APBN 2022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Rp1.846,1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Rp2.714,2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Rp868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4,85%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PDB.</w:t>
      </w:r>
    </w:p>
    <w:p w14:paraId="23F722E7" w14:textId="4D74A88E" w:rsidR="000752B5" w:rsidRDefault="000752B5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deregulasi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debirokratisasi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konektivitas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ungkap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fondasi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Sahbirin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Noor,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dikabarkan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DIPA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TKDD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.</w:t>
      </w:r>
    </w:p>
    <w:p w14:paraId="0F7331D2" w14:textId="77777777" w:rsidR="008348C1" w:rsidRPr="008348C1" w:rsidRDefault="008348C1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F61434" w14:textId="0ED79305" w:rsidR="00E42981" w:rsidRPr="008348C1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8348C1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8348C1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51400673" w:rsidR="00FE10C4" w:rsidRPr="008348C1" w:rsidRDefault="00C7632C" w:rsidP="000752B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0752B5" w:rsidRPr="008348C1">
          <w:rPr>
            <w:rStyle w:val="Hyperlink"/>
            <w:rFonts w:ascii="Times New Roman" w:hAnsi="Times New Roman" w:cs="Times New Roman"/>
            <w:sz w:val="24"/>
            <w:szCs w:val="24"/>
          </w:rPr>
          <w:t>https://rri.co.id/banjarmasin/kalsel-hari-ini/1275706/gubernur-kalsel-terima-dipa-dan-tkdd-sebesar-rp-25-</w:t>
        </w:r>
      </w:hyperlink>
      <w:proofErr w:type="gramStart"/>
      <w:r w:rsidR="000752B5"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752B5" w:rsidRPr="008348C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>Gubernur</w:t>
      </w:r>
      <w:proofErr w:type="spellEnd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 xml:space="preserve"> DIPA </w:t>
      </w:r>
      <w:proofErr w:type="spellStart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 xml:space="preserve"> TKDD </w:t>
      </w:r>
      <w:proofErr w:type="spellStart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>Sebesar</w:t>
      </w:r>
      <w:proofErr w:type="spellEnd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>Rp</w:t>
      </w:r>
      <w:proofErr w:type="spellEnd"/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 xml:space="preserve"> 25 T</w:t>
      </w:r>
      <w:r w:rsidR="00647EA9" w:rsidRPr="008348C1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8348C1">
        <w:rPr>
          <w:rFonts w:ascii="Times New Roman" w:hAnsi="Times New Roman" w:cs="Times New Roman"/>
          <w:sz w:val="24"/>
          <w:szCs w:val="24"/>
        </w:rPr>
        <w:t xml:space="preserve"> </w:t>
      </w:r>
      <w:r w:rsidR="00FC7FED" w:rsidRPr="008348C1">
        <w:rPr>
          <w:rFonts w:ascii="Times New Roman" w:hAnsi="Times New Roman" w:cs="Times New Roman"/>
          <w:sz w:val="24"/>
          <w:szCs w:val="24"/>
        </w:rPr>
        <w:t>5</w:t>
      </w:r>
      <w:r w:rsidR="00FE10C4"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8348C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8348C1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8348C1">
        <w:rPr>
          <w:rFonts w:ascii="Times New Roman" w:hAnsi="Times New Roman" w:cs="Times New Roman"/>
          <w:sz w:val="24"/>
          <w:szCs w:val="24"/>
        </w:rPr>
        <w:t>.</w:t>
      </w:r>
      <w:r w:rsidR="0039253B" w:rsidRPr="008348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30129" w14:textId="37DC91DE" w:rsidR="000752B5" w:rsidRPr="008348C1" w:rsidRDefault="00C7632C" w:rsidP="000752B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0752B5" w:rsidRPr="008348C1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https://starbanjar.com/read/pemprov-kalsel-terima-dipa-tkdd-2022-rp-25-triliun-turun-dari-tahun-sebelumnya</w:t>
        </w:r>
      </w:hyperlink>
      <w:r w:rsidR="000752B5" w:rsidRPr="008348C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Pemprov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Kalsel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Terima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DIPA-TKDD 2022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Rp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25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Triliun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Turun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dari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Tahun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>Sebelumnya</w:t>
      </w:r>
      <w:proofErr w:type="spellEnd"/>
      <w:r w:rsidR="000752B5" w:rsidRPr="00834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0752B5" w:rsidRPr="008348C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0752B5" w:rsidRPr="008348C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752B5" w:rsidRPr="008348C1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6AA9EDF" w14:textId="60A51AD1" w:rsidR="00E42981" w:rsidRPr="008348C1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8348C1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>:</w:t>
      </w:r>
    </w:p>
    <w:p w14:paraId="1A004233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Anggaran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terdiri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empat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yakni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5686722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A8112A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473D0E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30E8FE" w14:textId="3DEB5980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5FE39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r w:rsidRPr="008348C1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Anggaran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48C1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8348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1D6562B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20%); </w:t>
      </w:r>
    </w:p>
    <w:p w14:paraId="4DF5CBB1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20%);</w:t>
      </w:r>
    </w:p>
    <w:p w14:paraId="379E4C66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III DIPA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5%); </w:t>
      </w:r>
    </w:p>
    <w:p w14:paraId="42EBD463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4. Data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10%); </w:t>
      </w:r>
    </w:p>
    <w:p w14:paraId="2298A96B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(UP)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10%); </w:t>
      </w:r>
    </w:p>
    <w:p w14:paraId="21A64B06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DIPA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5%); </w:t>
      </w:r>
    </w:p>
    <w:p w14:paraId="5182DF38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SPM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5%); </w:t>
      </w:r>
    </w:p>
    <w:p w14:paraId="2FAF823B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SP2D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5%); </w:t>
      </w:r>
    </w:p>
    <w:p w14:paraId="3A3346C0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LPJ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5%); </w:t>
      </w:r>
    </w:p>
    <w:p w14:paraId="77812600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Renkas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/ RPD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5%); </w:t>
      </w:r>
    </w:p>
    <w:p w14:paraId="7AAED741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8C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Pagu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Minus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proofErr w:type="gramEnd"/>
      <w:r w:rsidRPr="00834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5%); </w:t>
      </w:r>
    </w:p>
    <w:p w14:paraId="7767267F" w14:textId="223F8A71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Dispensasi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SPM 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 xml:space="preserve"> 5%). </w:t>
      </w:r>
    </w:p>
    <w:p w14:paraId="068FFA3B" w14:textId="77777777" w:rsidR="009C1D05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0F5337CA" w:rsidR="0009399B" w:rsidRPr="008348C1" w:rsidRDefault="009C1D05" w:rsidP="009C1D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48C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348C1">
        <w:rPr>
          <w:rFonts w:ascii="Times New Roman" w:hAnsi="Times New Roman" w:cs="Times New Roman"/>
          <w:sz w:val="24"/>
          <w:szCs w:val="24"/>
        </w:rPr>
        <w:t>: https://djpbn.kemenkeu.go.id/kppn/painan/id/berita/berita-terbaru/202-berita-kantorpelayanan-perbendaharaan-negara/2845-sosialisasi-indikator-kinerja-pelaksanaananggaran</w:t>
      </w:r>
    </w:p>
    <w:sectPr w:rsidR="0009399B" w:rsidRPr="008348C1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5585D" w14:textId="77777777" w:rsidR="00C7632C" w:rsidRDefault="00C7632C" w:rsidP="00E42981">
      <w:pPr>
        <w:spacing w:after="0" w:line="240" w:lineRule="auto"/>
      </w:pPr>
      <w:r>
        <w:separator/>
      </w:r>
    </w:p>
  </w:endnote>
  <w:endnote w:type="continuationSeparator" w:id="0">
    <w:p w14:paraId="53401FC5" w14:textId="77777777" w:rsidR="00C7632C" w:rsidRDefault="00C7632C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FAEB35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48C1" w:rsidRPr="008348C1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42C3" w14:textId="77777777" w:rsidR="00C7632C" w:rsidRDefault="00C7632C" w:rsidP="00E42981">
      <w:pPr>
        <w:spacing w:after="0" w:line="240" w:lineRule="auto"/>
      </w:pPr>
      <w:r>
        <w:separator/>
      </w:r>
    </w:p>
  </w:footnote>
  <w:footnote w:type="continuationSeparator" w:id="0">
    <w:p w14:paraId="4663E290" w14:textId="77777777" w:rsidR="00C7632C" w:rsidRDefault="00C7632C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BD14828_"/>
      </v:shape>
    </w:pict>
  </w:numPicBullet>
  <w:abstractNum w:abstractNumId="0" w15:restartNumberingAfterBreak="0">
    <w:nsid w:val="04FF4F4E"/>
    <w:multiLevelType w:val="hybridMultilevel"/>
    <w:tmpl w:val="D68C5F46"/>
    <w:lvl w:ilvl="0" w:tplc="CDEC7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43DC1"/>
    <w:multiLevelType w:val="hybridMultilevel"/>
    <w:tmpl w:val="AAF2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537"/>
    <w:multiLevelType w:val="hybridMultilevel"/>
    <w:tmpl w:val="7786E52C"/>
    <w:lvl w:ilvl="0" w:tplc="BF4664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CED"/>
    <w:multiLevelType w:val="hybridMultilevel"/>
    <w:tmpl w:val="60FE868E"/>
    <w:lvl w:ilvl="0" w:tplc="F8B6FABE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D5DDA"/>
    <w:multiLevelType w:val="hybridMultilevel"/>
    <w:tmpl w:val="9D2C32D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33BCD"/>
    <w:multiLevelType w:val="hybridMultilevel"/>
    <w:tmpl w:val="B57CDE6E"/>
    <w:lvl w:ilvl="0" w:tplc="04090019">
      <w:start w:val="1"/>
      <w:numFmt w:val="lowerLetter"/>
      <w:lvlText w:val="%1."/>
      <w:lvlJc w:val="left"/>
      <w:pPr>
        <w:ind w:left="1923" w:hanging="360"/>
      </w:p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2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8"/>
  </w:num>
  <w:num w:numId="16">
    <w:abstractNumId w:val="4"/>
  </w:num>
  <w:num w:numId="17">
    <w:abstractNumId w:val="2"/>
  </w:num>
  <w:num w:numId="18">
    <w:abstractNumId w:val="12"/>
  </w:num>
  <w:num w:numId="19">
    <w:abstractNumId w:val="3"/>
  </w:num>
  <w:num w:numId="20">
    <w:abstractNumId w:val="6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752B5"/>
    <w:rsid w:val="0009399B"/>
    <w:rsid w:val="000B53DE"/>
    <w:rsid w:val="000E3038"/>
    <w:rsid w:val="00131978"/>
    <w:rsid w:val="00195A9E"/>
    <w:rsid w:val="002004B8"/>
    <w:rsid w:val="002701BF"/>
    <w:rsid w:val="002977CD"/>
    <w:rsid w:val="002B1860"/>
    <w:rsid w:val="003637D3"/>
    <w:rsid w:val="00375E65"/>
    <w:rsid w:val="003768AC"/>
    <w:rsid w:val="0039253B"/>
    <w:rsid w:val="003B6A48"/>
    <w:rsid w:val="003C4F38"/>
    <w:rsid w:val="00402DCC"/>
    <w:rsid w:val="00422967"/>
    <w:rsid w:val="004722E2"/>
    <w:rsid w:val="00483BA9"/>
    <w:rsid w:val="004A75A5"/>
    <w:rsid w:val="00514413"/>
    <w:rsid w:val="0053422B"/>
    <w:rsid w:val="005A38B7"/>
    <w:rsid w:val="005B27BE"/>
    <w:rsid w:val="005D3E11"/>
    <w:rsid w:val="00647EA9"/>
    <w:rsid w:val="006679E8"/>
    <w:rsid w:val="006B44EE"/>
    <w:rsid w:val="006D1912"/>
    <w:rsid w:val="00705C85"/>
    <w:rsid w:val="00734126"/>
    <w:rsid w:val="007D5553"/>
    <w:rsid w:val="007E03E1"/>
    <w:rsid w:val="007E5C15"/>
    <w:rsid w:val="00803263"/>
    <w:rsid w:val="00814B61"/>
    <w:rsid w:val="00823004"/>
    <w:rsid w:val="00831CC2"/>
    <w:rsid w:val="008348C1"/>
    <w:rsid w:val="008D3249"/>
    <w:rsid w:val="00911469"/>
    <w:rsid w:val="00957D36"/>
    <w:rsid w:val="009712D3"/>
    <w:rsid w:val="009C1D05"/>
    <w:rsid w:val="00A503B4"/>
    <w:rsid w:val="00A5324A"/>
    <w:rsid w:val="00A94065"/>
    <w:rsid w:val="00AA083A"/>
    <w:rsid w:val="00AD32D1"/>
    <w:rsid w:val="00B509CF"/>
    <w:rsid w:val="00B87AA9"/>
    <w:rsid w:val="00B87EEE"/>
    <w:rsid w:val="00B94326"/>
    <w:rsid w:val="00BB4D8D"/>
    <w:rsid w:val="00BB6A63"/>
    <w:rsid w:val="00C304E8"/>
    <w:rsid w:val="00C7632C"/>
    <w:rsid w:val="00CA7549"/>
    <w:rsid w:val="00CD47ED"/>
    <w:rsid w:val="00CE28E0"/>
    <w:rsid w:val="00CE49CA"/>
    <w:rsid w:val="00DB4F2A"/>
    <w:rsid w:val="00E22C80"/>
    <w:rsid w:val="00E42981"/>
    <w:rsid w:val="00E54638"/>
    <w:rsid w:val="00E5782B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C7FED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banjar.com/read/pemprov-kalsel-terima-dipa-tkdd-2022-rp-25-triliun-turun-dari-tahun-sebelumn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ri.co.id/banjarmasin/kalsel-hari-ini/1275706/gubernur-kalsel-terima-dipa-dan-tkdd-sebesar-rp-25-t?utm_source=news_main&amp;utm_medium=internal_link&amp;utm_campaign=General%20Campa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banjar.com/read/pemprov-kalsel-terima-dipa-tkdd-2022-rp-25-triliun-turun-dari-tahun-sebelumny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C72B-CA34-450C-A238-56F0DCBD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2021-12-05T15:41:00Z</dcterms:created>
  <dcterms:modified xsi:type="dcterms:W3CDTF">2021-12-05T15:57:00Z</dcterms:modified>
</cp:coreProperties>
</file>