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3C38" w14:textId="3F9655ED" w:rsidR="00F2306F" w:rsidRPr="00F2306F" w:rsidRDefault="00F2306F" w:rsidP="00F23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F2306F">
        <w:rPr>
          <w:rFonts w:ascii="Times New Roman" w:hAnsi="Times New Roman" w:cs="Times New Roman"/>
          <w:b/>
          <w:bCs/>
          <w:sz w:val="24"/>
          <w:szCs w:val="24"/>
        </w:rPr>
        <w:t>Dewan</w:t>
      </w:r>
      <w:proofErr w:type="spellEnd"/>
      <w:r w:rsidRPr="00F2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338" w:rsidRPr="00F2306F">
        <w:rPr>
          <w:rFonts w:ascii="Times New Roman" w:hAnsi="Times New Roman" w:cs="Times New Roman"/>
          <w:b/>
          <w:bCs/>
          <w:sz w:val="24"/>
          <w:szCs w:val="24"/>
        </w:rPr>
        <w:t>Setujui</w:t>
      </w:r>
      <w:proofErr w:type="spellEnd"/>
      <w:r w:rsidR="00487338" w:rsidRPr="00F2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06F">
        <w:rPr>
          <w:rFonts w:ascii="Times New Roman" w:hAnsi="Times New Roman" w:cs="Times New Roman"/>
          <w:b/>
          <w:bCs/>
          <w:sz w:val="24"/>
          <w:szCs w:val="24"/>
        </w:rPr>
        <w:t xml:space="preserve">APBD </w:t>
      </w:r>
      <w:proofErr w:type="spellStart"/>
      <w:r w:rsidRPr="00F2306F">
        <w:rPr>
          <w:rFonts w:ascii="Times New Roman" w:hAnsi="Times New Roman" w:cs="Times New Roman"/>
          <w:b/>
          <w:bCs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b/>
          <w:bCs/>
          <w:sz w:val="24"/>
          <w:szCs w:val="24"/>
        </w:rPr>
        <w:t xml:space="preserve"> 2022 Rp1</w:t>
      </w:r>
      <w:proofErr w:type="gramStart"/>
      <w:r w:rsidRPr="00F2306F">
        <w:rPr>
          <w:rFonts w:ascii="Times New Roman" w:hAnsi="Times New Roman" w:cs="Times New Roman"/>
          <w:b/>
          <w:bCs/>
          <w:sz w:val="24"/>
          <w:szCs w:val="24"/>
        </w:rPr>
        <w:t>,275</w:t>
      </w:r>
      <w:proofErr w:type="gramEnd"/>
      <w:r w:rsidRPr="00F2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b/>
          <w:bCs/>
          <w:sz w:val="24"/>
          <w:szCs w:val="24"/>
        </w:rPr>
        <w:t>triliun</w:t>
      </w:r>
      <w:proofErr w:type="spellEnd"/>
    </w:p>
    <w:bookmarkEnd w:id="0"/>
    <w:p w14:paraId="77740F73" w14:textId="4ADE1E89" w:rsidR="00E42981" w:rsidRDefault="00E42981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C8172" w14:textId="58626628" w:rsidR="00482C16" w:rsidRDefault="00F2306F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F5E146" wp14:editId="448BC24A">
            <wp:extent cx="3299460" cy="22011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wan setujui APBD Batola 2022 Rp1,275 trili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505" cy="22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B8E" w14:textId="37BBE629" w:rsidR="00E42981" w:rsidRDefault="00E42981" w:rsidP="00F230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20A43929" w:rsidR="00E42981" w:rsidRPr="004D4E7A" w:rsidRDefault="00E42981" w:rsidP="004D4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D4E7A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4D4E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4D4E7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4D4E7A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4D4E7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48F0060" w14:textId="3B35569D" w:rsidR="00B27E29" w:rsidRPr="004D4E7A" w:rsidRDefault="00487338" w:rsidP="004D4E7A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D4E7A" w:rsidRPr="004D4E7A">
          <w:rPr>
            <w:rStyle w:val="Hyperlink"/>
            <w:rFonts w:ascii="Times New Roman" w:hAnsi="Times New Roman" w:cs="Times New Roman"/>
            <w:sz w:val="20"/>
            <w:szCs w:val="20"/>
          </w:rPr>
          <w:t>https://kalsel.antaranews.com/berita/297769/dewan-setujui-apbd-batola-2022-rp1275-triliun</w:t>
        </w:r>
      </w:hyperlink>
    </w:p>
    <w:p w14:paraId="72CF40B0" w14:textId="0ADCCE96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 (APBD)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(TA)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Rp1.275.890.436.325, 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(30/11).</w:t>
      </w:r>
    </w:p>
    <w:p w14:paraId="35A80D46" w14:textId="058A3006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Rp67.036.209.984,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Transfer Rp1.199.444.405.000,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p9.409.821.341. </w:t>
      </w:r>
    </w:p>
    <w:p w14:paraId="4EA81D01" w14:textId="403A7DDC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diproyeksi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Rp1.299.240.436.325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Rp834.522.153.230,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Modal Rp242.731.842.995,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Rp5.000.000.000,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Transfer Rp216.986.440.100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sehi</w:t>
      </w:r>
      <w:r>
        <w:rPr>
          <w:rFonts w:ascii="Times New Roman" w:hAnsi="Times New Roman" w:cs="Times New Roman"/>
          <w:sz w:val="24"/>
          <w:szCs w:val="24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Rp23.350.000.000. </w:t>
      </w:r>
    </w:p>
    <w:p w14:paraId="62461E41" w14:textId="3BA6017F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dipatok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Rp33.000.000.000,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Rp9.650.000.000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Rp23.350.000.000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F10F9" w14:textId="0EB643BD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Persetujun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APBD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DPRD Saleh, Wakil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Arfah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beragenda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B839A" w14:textId="53B02D53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) H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Rahmadian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</w:t>
      </w:r>
    </w:p>
    <w:p w14:paraId="01249892" w14:textId="77777777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DC28C" w14:textId="77777777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9CAC" w14:textId="58F5F614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F">
        <w:rPr>
          <w:rFonts w:ascii="Times New Roman" w:hAnsi="Times New Roman" w:cs="Times New Roman"/>
          <w:sz w:val="24"/>
          <w:szCs w:val="24"/>
        </w:rPr>
        <w:lastRenderedPageBreak/>
        <w:t xml:space="preserve">APBD TA 2022,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kesinambunga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39B70" w14:textId="01D04243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ditandatanganinya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APBD TA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diabdikan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meningkatk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8B2BC" w14:textId="4D302220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persetujuaan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pengundangannya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69FB725C" w14:textId="1FCC917D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67819" w14:textId="7032FCE8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penetapn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Propemperda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84548" w14:textId="749EE993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pengundangan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3D92C" w14:textId="16C4394D" w:rsidR="00F2306F" w:rsidRP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Propemperda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perkembanga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2D430" w14:textId="6F7F23E7" w:rsidR="00F2306F" w:rsidRDefault="00F2306F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papar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Propemperda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: 11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306F">
        <w:rPr>
          <w:rFonts w:ascii="Times New Roman" w:hAnsi="Times New Roman" w:cs="Times New Roman"/>
          <w:sz w:val="24"/>
          <w:szCs w:val="24"/>
        </w:rPr>
        <w:t>.</w:t>
      </w:r>
    </w:p>
    <w:p w14:paraId="117ABF17" w14:textId="77777777" w:rsidR="00482C16" w:rsidRDefault="00482C16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814B61" w:rsidRDefault="00814B61" w:rsidP="004D4E7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14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14B6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14B61">
        <w:rPr>
          <w:rFonts w:ascii="Times New Roman" w:hAnsi="Times New Roman" w:cs="Times New Roman"/>
          <w:b/>
          <w:sz w:val="24"/>
          <w:szCs w:val="24"/>
        </w:rPr>
        <w:t>:</w:t>
      </w:r>
    </w:p>
    <w:p w14:paraId="2A885E44" w14:textId="2D2811B7" w:rsidR="00B27E29" w:rsidRPr="00F2306F" w:rsidRDefault="00487338" w:rsidP="004D4E7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F2306F" w:rsidRPr="00806575">
          <w:rPr>
            <w:rStyle w:val="Hyperlink"/>
          </w:rPr>
          <w:t>https://kalsel.antaranews.com/berita/297769/dewan-setujui-apbd-batola-2022-rp1275-triliun</w:t>
        </w:r>
      </w:hyperlink>
      <w:r w:rsidR="0039253B" w:rsidRPr="00482C16">
        <w:rPr>
          <w:rFonts w:ascii="Times New Roman" w:hAnsi="Times New Roman" w:cs="Times New Roman"/>
          <w:sz w:val="24"/>
          <w:szCs w:val="24"/>
        </w:rPr>
        <w:t>,</w:t>
      </w:r>
      <w:r w:rsidR="00F2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Dewan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setujui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APBD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Batola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2022 Rp1</w:t>
      </w:r>
      <w:proofErr w:type="gram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,275</w:t>
      </w:r>
      <w:proofErr w:type="gram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triliun</w:t>
      </w:r>
      <w:proofErr w:type="spellEnd"/>
      <w:r w:rsidR="00B27E29" w:rsidRPr="00F230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E29" w:rsidRPr="00F2306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27E29" w:rsidRPr="00F2306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7E29" w:rsidRPr="00F2306F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F2306F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F2306F">
        <w:rPr>
          <w:rFonts w:ascii="Times New Roman" w:hAnsi="Times New Roman" w:cs="Times New Roman"/>
          <w:sz w:val="24"/>
          <w:szCs w:val="24"/>
        </w:rPr>
        <w:t>.</w:t>
      </w:r>
      <w:r w:rsidR="0039253B" w:rsidRPr="00F23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03EE" w14:textId="4A10370A" w:rsidR="00F2306F" w:rsidRPr="00F2306F" w:rsidRDefault="00487338" w:rsidP="004D4E7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F2306F" w:rsidRPr="00F2306F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https://banjarmasin.tribunnews.com/2021/12/01/rapat-paripurna-dprd-batola-setujui-apbd-2022-seesar-rp1275-triliun</w:t>
        </w:r>
      </w:hyperlink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Rapat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Paripurna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DPRD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Batola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Setujui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APBD 2022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Sebesar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Rp1</w:t>
      </w:r>
      <w:proofErr w:type="gram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,275</w:t>
      </w:r>
      <w:proofErr w:type="gram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Triliun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, 1 </w:t>
      </w:r>
      <w:proofErr w:type="spellStart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>Desember</w:t>
      </w:r>
      <w:proofErr w:type="spellEnd"/>
      <w:r w:rsidR="00F2306F" w:rsidRPr="00F2306F">
        <w:rPr>
          <w:rFonts w:ascii="Times New Roman" w:hAnsi="Times New Roman" w:cs="Times New Roman"/>
          <w:bCs/>
          <w:i/>
          <w:sz w:val="24"/>
          <w:szCs w:val="24"/>
        </w:rPr>
        <w:t xml:space="preserve">  2021. </w:t>
      </w:r>
    </w:p>
    <w:p w14:paraId="26031C89" w14:textId="77777777" w:rsidR="00C304E8" w:rsidRDefault="00C304E8" w:rsidP="004D4E7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Default="00E42981" w:rsidP="004D4E7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14B61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Default="00C304E8" w:rsidP="004D4E7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C304E8" w:rsidRDefault="00C304E8" w:rsidP="004D4E7A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C304E8" w:rsidRDefault="00C304E8" w:rsidP="004D4E7A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C304E8" w:rsidRDefault="00C304E8" w:rsidP="004D4E7A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C304E8" w:rsidRDefault="00C304E8" w:rsidP="004D4E7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C304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C304E8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C304E8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EBA34" w14:textId="77777777" w:rsidR="00B509CF" w:rsidRPr="00814B61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814B61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0D0F" w14:textId="77777777" w:rsidR="00D535E7" w:rsidRDefault="00D535E7" w:rsidP="00E42981">
      <w:pPr>
        <w:spacing w:after="0" w:line="240" w:lineRule="auto"/>
      </w:pPr>
      <w:r>
        <w:separator/>
      </w:r>
    </w:p>
  </w:endnote>
  <w:endnote w:type="continuationSeparator" w:id="0">
    <w:p w14:paraId="2DDB87D4" w14:textId="77777777" w:rsidR="00D535E7" w:rsidRDefault="00D535E7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6C64808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7338" w:rsidRPr="00487338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5DE1" w14:textId="77777777" w:rsidR="00D535E7" w:rsidRDefault="00D535E7" w:rsidP="00E42981">
      <w:pPr>
        <w:spacing w:after="0" w:line="240" w:lineRule="auto"/>
      </w:pPr>
      <w:r>
        <w:separator/>
      </w:r>
    </w:p>
  </w:footnote>
  <w:footnote w:type="continuationSeparator" w:id="0">
    <w:p w14:paraId="70D49249" w14:textId="77777777" w:rsidR="00D535E7" w:rsidRDefault="00D535E7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701BF"/>
    <w:rsid w:val="002977CD"/>
    <w:rsid w:val="002D1057"/>
    <w:rsid w:val="00327DEB"/>
    <w:rsid w:val="00375E65"/>
    <w:rsid w:val="003768AC"/>
    <w:rsid w:val="0039253B"/>
    <w:rsid w:val="003B6A48"/>
    <w:rsid w:val="00422967"/>
    <w:rsid w:val="00482C16"/>
    <w:rsid w:val="00487338"/>
    <w:rsid w:val="004A75A5"/>
    <w:rsid w:val="004D4E7A"/>
    <w:rsid w:val="0053422B"/>
    <w:rsid w:val="005A38B7"/>
    <w:rsid w:val="006054AF"/>
    <w:rsid w:val="006D1912"/>
    <w:rsid w:val="00705C85"/>
    <w:rsid w:val="007E03E1"/>
    <w:rsid w:val="007E5E36"/>
    <w:rsid w:val="00803263"/>
    <w:rsid w:val="00814B61"/>
    <w:rsid w:val="00823004"/>
    <w:rsid w:val="00957D36"/>
    <w:rsid w:val="00AD32D1"/>
    <w:rsid w:val="00B27E29"/>
    <w:rsid w:val="00B509CF"/>
    <w:rsid w:val="00B87AA9"/>
    <w:rsid w:val="00B94326"/>
    <w:rsid w:val="00C01303"/>
    <w:rsid w:val="00C304E8"/>
    <w:rsid w:val="00CD47ED"/>
    <w:rsid w:val="00CE28E0"/>
    <w:rsid w:val="00D535E7"/>
    <w:rsid w:val="00DB4F2A"/>
    <w:rsid w:val="00E42981"/>
    <w:rsid w:val="00EA562B"/>
    <w:rsid w:val="00F2306F"/>
    <w:rsid w:val="00F37C0F"/>
    <w:rsid w:val="00F418C4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2/01/rapat-paripurna-dprd-batola-setujui-apbd-2022-seesar-rp1275-trili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7769/dewan-setujui-apbd-batola-2022-rp1275-trili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97769/dewan-setujui-apbd-batola-2022-rp1275-trili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A5FA-5C9E-49A1-AD2A-AB5C4AA2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6</cp:revision>
  <dcterms:created xsi:type="dcterms:W3CDTF">2021-12-03T03:57:00Z</dcterms:created>
  <dcterms:modified xsi:type="dcterms:W3CDTF">2021-12-31T13:27:00Z</dcterms:modified>
</cp:coreProperties>
</file>