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0F73" w14:textId="7EE68B99" w:rsidR="00E42981" w:rsidRDefault="006D1912" w:rsidP="003774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APBDP 2021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Diarahkan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Penanganan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Covid-19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Visi</w:t>
      </w:r>
      <w:proofErr w:type="spellEnd"/>
      <w:r w:rsidRPr="006D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912">
        <w:rPr>
          <w:rFonts w:ascii="Times New Roman" w:hAnsi="Times New Roman" w:cs="Times New Roman"/>
          <w:b/>
          <w:bCs/>
          <w:sz w:val="24"/>
          <w:szCs w:val="24"/>
        </w:rPr>
        <w:t>Misi</w:t>
      </w:r>
      <w:proofErr w:type="spellEnd"/>
    </w:p>
    <w:p w14:paraId="0CA4F3C7" w14:textId="2F28C74D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5974F9CA" w:rsidR="00E42981" w:rsidRDefault="006D1912" w:rsidP="00377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7F8848" wp14:editId="1FD4DE97">
            <wp:extent cx="428625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BDP 2021 Lebih Diarahkan untuk Penanganan Covid-19 dan Pelaksanaan Visi Mis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553307D" w14:textId="0CC513E3" w:rsidR="00E42981" w:rsidRPr="003774A7" w:rsidRDefault="006D1912" w:rsidP="00E4298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774A7">
        <w:rPr>
          <w:rFonts w:ascii="Times New Roman" w:hAnsi="Times New Roman" w:cs="Times New Roman"/>
          <w:bCs/>
          <w:i/>
          <w:iCs/>
          <w:sz w:val="20"/>
          <w:szCs w:val="20"/>
        </w:rPr>
        <w:t>https://kalselpos.com/2021/09/07/apbdp-2021-lebih-diarahkan-untuk-penanganan-covid-19-dan-pelaksanaan-visi-misi/</w:t>
      </w:r>
    </w:p>
    <w:p w14:paraId="08568658" w14:textId="7A6CA23A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26E44BD" w14:textId="75786AF7" w:rsidR="0039253B" w:rsidRDefault="0039253B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EAD47" w14:textId="0CB4DE23" w:rsidR="00B509CF" w:rsidRPr="003774A7" w:rsidRDefault="00B509CF" w:rsidP="000359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A7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Barito Kuala, Kalimantan Selatan 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Rahmadian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Barito Kuala (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(TA) 2021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.</w:t>
      </w:r>
    </w:p>
    <w:p w14:paraId="0E7C8234" w14:textId="2A7A16A8" w:rsidR="006D1912" w:rsidRPr="003774A7" w:rsidRDefault="006D1912" w:rsidP="000359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Barito Kuala (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) TA 2021 di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.</w:t>
      </w:r>
      <w:r w:rsidR="00B509CF" w:rsidRPr="003774A7">
        <w:rPr>
          <w:rFonts w:ascii="Times New Roman" w:hAnsi="Times New Roman" w:cs="Times New Roman"/>
          <w:sz w:val="24"/>
          <w:szCs w:val="24"/>
        </w:rPr>
        <w:t xml:space="preserve"> </w:t>
      </w:r>
      <w:r w:rsidRPr="003774A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B509CF" w:rsidRPr="003774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09CF"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disampaikam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Rahmadian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(APBDP)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(TA) 2021</w:t>
      </w:r>
      <w:r w:rsidR="00B509CF" w:rsidRPr="003774A7">
        <w:rPr>
          <w:rFonts w:ascii="Times New Roman" w:hAnsi="Times New Roman" w:cs="Times New Roman"/>
          <w:sz w:val="24"/>
          <w:szCs w:val="24"/>
        </w:rPr>
        <w:t>.</w:t>
      </w:r>
    </w:p>
    <w:p w14:paraId="6988EC97" w14:textId="66D256D0" w:rsidR="00B509CF" w:rsidRPr="003774A7" w:rsidRDefault="006D1912" w:rsidP="000359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diakukan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refocusing program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covid-19, di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Rp2.151.574.110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Bintara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Rp500.000.000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B509CF"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RSUD H Abdul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covid-19 Rp5.700.000.000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lastRenderedPageBreak/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dana surplus BLUD</w:t>
      </w:r>
      <w:r w:rsidR="00B509CF"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CF"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09CF" w:rsidRPr="003774A7">
        <w:rPr>
          <w:rFonts w:ascii="Times New Roman" w:hAnsi="Times New Roman" w:cs="Times New Roman"/>
          <w:sz w:val="24"/>
          <w:szCs w:val="24"/>
        </w:rPr>
        <w:t xml:space="preserve"> 2020 Rp7.640.541.245</w:t>
      </w:r>
      <w:proofErr w:type="gramStart"/>
      <w:r w:rsidR="00B509CF" w:rsidRPr="003774A7">
        <w:rPr>
          <w:rFonts w:ascii="Times New Roman" w:hAnsi="Times New Roman" w:cs="Times New Roman"/>
          <w:sz w:val="24"/>
          <w:szCs w:val="24"/>
        </w:rPr>
        <w:t>,73</w:t>
      </w:r>
      <w:proofErr w:type="gramEnd"/>
      <w:r w:rsidR="00B509CF"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Rp1.373.065.087.862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6,71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2021,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Rp1.246.282.885.500,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Rp1.352.965.087.862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Rp106.682.202.362.</w:t>
      </w:r>
    </w:p>
    <w:p w14:paraId="099098FF" w14:textId="29E8F843" w:rsidR="006D1912" w:rsidRPr="003774A7" w:rsidRDefault="006D1912" w:rsidP="000359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Rp126.782.202.362,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Rp20.100.000.000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Rp106.682.202.362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pembiyan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alias nol.</w:t>
      </w:r>
    </w:p>
    <w:p w14:paraId="6D1589A6" w14:textId="69636852" w:rsidR="00B509CF" w:rsidRPr="003774A7" w:rsidRDefault="006D1912" w:rsidP="000359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TA 2021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lantaran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.</w:t>
      </w:r>
      <w:r w:rsidR="00B509CF"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TA 2020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dikurang</w:t>
      </w:r>
      <w:r w:rsidR="00035982" w:rsidRPr="003774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5982"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982" w:rsidRPr="003774A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035982"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sedia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terduga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.</w:t>
      </w:r>
      <w:r w:rsidR="00035982"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pembiyaan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.</w:t>
      </w:r>
      <w:r w:rsidR="00035982" w:rsidRPr="0037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822D0" w14:textId="77777777" w:rsidR="00035982" w:rsidRPr="003774A7" w:rsidRDefault="00035982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3774A7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774A7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774A7">
        <w:rPr>
          <w:rFonts w:ascii="Times New Roman" w:hAnsi="Times New Roman" w:cs="Times New Roman"/>
          <w:b/>
          <w:sz w:val="24"/>
          <w:szCs w:val="24"/>
        </w:rPr>
        <w:t>:</w:t>
      </w:r>
    </w:p>
    <w:p w14:paraId="7A2A7880" w14:textId="77777777" w:rsidR="00B509CF" w:rsidRPr="003774A7" w:rsidRDefault="00F72A87" w:rsidP="00B509CF">
      <w:pPr>
        <w:pStyle w:val="ListParagraph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D1912" w:rsidRPr="003774A7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https://kalselpos.com/2021/09/07/apbdp-2021-lebih-diarahkan-untuk-penanganan-covid-19-dan-pelaksanaan-visi-misi/</w:t>
        </w:r>
      </w:hyperlink>
      <w:r w:rsidR="006D1912" w:rsidRP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3774A7">
        <w:rPr>
          <w:rFonts w:ascii="Times New Roman" w:hAnsi="Times New Roman" w:cs="Times New Roman"/>
          <w:sz w:val="24"/>
          <w:szCs w:val="24"/>
        </w:rPr>
        <w:t xml:space="preserve">, </w:t>
      </w:r>
      <w:r w:rsidR="006D1912" w:rsidRPr="003774A7">
        <w:rPr>
          <w:rFonts w:ascii="Times New Roman" w:hAnsi="Times New Roman" w:cs="Times New Roman"/>
          <w:sz w:val="24"/>
          <w:szCs w:val="24"/>
        </w:rPr>
        <w:t>7 September 2021</w:t>
      </w:r>
      <w:r w:rsidR="00CE28E0" w:rsidRPr="003774A7">
        <w:rPr>
          <w:rFonts w:ascii="Times New Roman" w:hAnsi="Times New Roman" w:cs="Times New Roman"/>
          <w:sz w:val="24"/>
          <w:szCs w:val="24"/>
        </w:rPr>
        <w:t>.</w:t>
      </w:r>
      <w:r w:rsidR="0039253B" w:rsidRPr="0037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6BA9B" w14:textId="30B7FE38" w:rsidR="00B509CF" w:rsidRPr="003774A7" w:rsidRDefault="00F72A87" w:rsidP="00B509CF">
      <w:pPr>
        <w:pStyle w:val="ListParagraph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B509CF" w:rsidRPr="003774A7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https://kalsel.antaranews.com/berita/277642/apbdp-batola-2021-diarahkan-ke-penanganan-covid-19-dan-pelaksanaan-visi-misi</w:t>
        </w:r>
      </w:hyperlink>
      <w:r w:rsidR="00B509CF" w:rsidRPr="003774A7">
        <w:rPr>
          <w:rFonts w:ascii="Times New Roman" w:hAnsi="Times New Roman" w:cs="Times New Roman"/>
          <w:sz w:val="24"/>
          <w:szCs w:val="24"/>
        </w:rPr>
        <w:t xml:space="preserve">, </w:t>
      </w:r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APBDP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Batola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diarahkan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COVID-19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9CF" w:rsidRPr="003774A7"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 w:rsidR="00B509CF" w:rsidRPr="003774A7">
        <w:rPr>
          <w:rFonts w:ascii="Times New Roman" w:hAnsi="Times New Roman" w:cs="Times New Roman"/>
          <w:bCs/>
          <w:sz w:val="24"/>
          <w:szCs w:val="24"/>
        </w:rPr>
        <w:t>,</w:t>
      </w:r>
      <w:r w:rsidR="00B509CF" w:rsidRPr="00377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9CF" w:rsidRPr="003774A7">
        <w:rPr>
          <w:rFonts w:ascii="Times New Roman" w:hAnsi="Times New Roman" w:cs="Times New Roman"/>
          <w:sz w:val="24"/>
          <w:szCs w:val="24"/>
        </w:rPr>
        <w:t>7 September 2021</w:t>
      </w:r>
    </w:p>
    <w:p w14:paraId="26031C89" w14:textId="77777777" w:rsidR="00C304E8" w:rsidRPr="003774A7" w:rsidRDefault="00C304E8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Pr="003774A7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774A7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3774A7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3774A7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4A7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4A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3774A7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4A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3774A7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lastRenderedPageBreak/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3774A7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A7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774A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3774A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3774A7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3774A7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EBA34" w14:textId="77777777" w:rsidR="00B509CF" w:rsidRPr="003774A7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09CF" w:rsidRPr="003774A7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1C1F" w14:textId="77777777" w:rsidR="00F72A87" w:rsidRDefault="00F72A87" w:rsidP="00E42981">
      <w:pPr>
        <w:spacing w:after="0" w:line="240" w:lineRule="auto"/>
      </w:pPr>
      <w:r>
        <w:separator/>
      </w:r>
    </w:p>
  </w:endnote>
  <w:endnote w:type="continuationSeparator" w:id="0">
    <w:p w14:paraId="1939EBE7" w14:textId="77777777" w:rsidR="00F72A87" w:rsidRDefault="00F72A87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8F72C0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74A7" w:rsidRPr="003774A7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3389" w14:textId="77777777" w:rsidR="00F72A87" w:rsidRDefault="00F72A87" w:rsidP="00E42981">
      <w:pPr>
        <w:spacing w:after="0" w:line="240" w:lineRule="auto"/>
      </w:pPr>
      <w:r>
        <w:separator/>
      </w:r>
    </w:p>
  </w:footnote>
  <w:footnote w:type="continuationSeparator" w:id="0">
    <w:p w14:paraId="2B2916DA" w14:textId="77777777" w:rsidR="00F72A87" w:rsidRDefault="00F72A87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2701BF"/>
    <w:rsid w:val="002977CD"/>
    <w:rsid w:val="00375E65"/>
    <w:rsid w:val="003768AC"/>
    <w:rsid w:val="003774A7"/>
    <w:rsid w:val="0039253B"/>
    <w:rsid w:val="003B6A48"/>
    <w:rsid w:val="00422967"/>
    <w:rsid w:val="004A75A5"/>
    <w:rsid w:val="0053422B"/>
    <w:rsid w:val="005A38B7"/>
    <w:rsid w:val="006D1912"/>
    <w:rsid w:val="00705C85"/>
    <w:rsid w:val="007E03E1"/>
    <w:rsid w:val="00803263"/>
    <w:rsid w:val="00814B61"/>
    <w:rsid w:val="00823004"/>
    <w:rsid w:val="00957D36"/>
    <w:rsid w:val="00AD32D1"/>
    <w:rsid w:val="00B509CF"/>
    <w:rsid w:val="00B87AA9"/>
    <w:rsid w:val="00B94326"/>
    <w:rsid w:val="00C304E8"/>
    <w:rsid w:val="00CD47ED"/>
    <w:rsid w:val="00CE28E0"/>
    <w:rsid w:val="00DB4F2A"/>
    <w:rsid w:val="00E42981"/>
    <w:rsid w:val="00F37C0F"/>
    <w:rsid w:val="00F418C4"/>
    <w:rsid w:val="00F716A3"/>
    <w:rsid w:val="00F72A87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77642/apbdp-batola-2021-diarahkan-ke-penanganan-covid-19-dan-pelaksanaan-visi-mi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09/07/apbdp-2021-lebih-diarahkan-untuk-penanganan-covid-19-dan-pelaksanaan-visi-misi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C6BD-4A41-4AA6-BC76-FD19B253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6</cp:revision>
  <dcterms:created xsi:type="dcterms:W3CDTF">2021-08-26T02:09:00Z</dcterms:created>
  <dcterms:modified xsi:type="dcterms:W3CDTF">2021-12-09T02:42:00Z</dcterms:modified>
</cp:coreProperties>
</file>