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A321" w14:textId="1A6011FA" w:rsidR="00A97DE1" w:rsidRPr="00A97DE1" w:rsidRDefault="005345AC" w:rsidP="00A97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97DE1">
        <w:rPr>
          <w:rFonts w:ascii="Times New Roman" w:hAnsi="Times New Roman" w:cs="Times New Roman"/>
          <w:b/>
          <w:bCs/>
          <w:sz w:val="24"/>
          <w:szCs w:val="24"/>
        </w:rPr>
        <w:t xml:space="preserve">APBD </w:t>
      </w:r>
      <w:bookmarkEnd w:id="0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 xml:space="preserve">Banjarmasin 2022 </w:t>
      </w:r>
      <w:proofErr w:type="spellStart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>Disepakati</w:t>
      </w:r>
      <w:proofErr w:type="spellEnd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 xml:space="preserve"> Rp1</w:t>
      </w:r>
      <w:proofErr w:type="gramStart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>,8</w:t>
      </w:r>
      <w:proofErr w:type="gramEnd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>Triliun</w:t>
      </w:r>
      <w:proofErr w:type="spellEnd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 xml:space="preserve">, SKPD Minim </w:t>
      </w:r>
      <w:proofErr w:type="spellStart"/>
      <w:r w:rsidR="00FF0ABB" w:rsidRPr="00A97DE1">
        <w:rPr>
          <w:rFonts w:ascii="Times New Roman" w:hAnsi="Times New Roman" w:cs="Times New Roman"/>
          <w:b/>
          <w:bCs/>
          <w:sz w:val="24"/>
          <w:szCs w:val="24"/>
        </w:rPr>
        <w:t>Hadir</w:t>
      </w:r>
      <w:proofErr w:type="spellEnd"/>
    </w:p>
    <w:p w14:paraId="00AB2A17" w14:textId="356900B3" w:rsidR="006D1912" w:rsidRPr="006D1912" w:rsidRDefault="006D1912" w:rsidP="006D191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4BD2F916" w:rsidR="00E42981" w:rsidRDefault="00985999" w:rsidP="00CD7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EBF9D3" wp14:editId="7FC0ADC5">
            <wp:extent cx="3471333" cy="26073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BD Banjarmasin 2022 disepakati Rp1,8 Triliun, SKPD minim hadi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710" cy="26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553307D" w14:textId="0FC3C126" w:rsidR="00E42981" w:rsidRDefault="00985999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59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https://kalselpos.com/2021/11/23/apbd-banjarmasin-2022-disepakati-rp18-triliun-skpd-minim-hadir/</w:t>
      </w:r>
    </w:p>
    <w:p w14:paraId="08568658" w14:textId="7A6CA23A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26E44BD" w14:textId="328F6D7B" w:rsidR="0039253B" w:rsidRPr="00CD773B" w:rsidRDefault="00985999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3B">
        <w:rPr>
          <w:rFonts w:ascii="Times New Roman" w:hAnsi="Times New Roman" w:cs="Times New Roman"/>
          <w:sz w:val="24"/>
          <w:szCs w:val="24"/>
        </w:rPr>
        <w:t xml:space="preserve">DPRD Banjarmasin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Banggar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(TPAD)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Pemko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2022 Banjarmasin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Rp1,8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(23/11/21),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(SKPD)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Pemko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“SKPD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DPRD Banjarmasin,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Matnor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disela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diingatkan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.</w:t>
      </w:r>
    </w:p>
    <w:p w14:paraId="693853C4" w14:textId="7042D89E" w:rsidR="00985999" w:rsidRPr="00CD773B" w:rsidRDefault="00985999" w:rsidP="009859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Banjarmasin, 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SKPD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diinformasikan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773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diingatkan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agar SKPD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.</w:t>
      </w:r>
    </w:p>
    <w:p w14:paraId="1D9822D0" w14:textId="77777777" w:rsidR="00035982" w:rsidRPr="00CD773B" w:rsidRDefault="00035982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CD773B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CD773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CD773B">
        <w:rPr>
          <w:rFonts w:ascii="Times New Roman" w:hAnsi="Times New Roman" w:cs="Times New Roman"/>
          <w:b/>
          <w:sz w:val="24"/>
          <w:szCs w:val="24"/>
        </w:rPr>
        <w:t>:</w:t>
      </w:r>
    </w:p>
    <w:p w14:paraId="595169B5" w14:textId="77777777" w:rsidR="00985999" w:rsidRPr="00CD773B" w:rsidRDefault="005345AC" w:rsidP="00985999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985999" w:rsidRPr="00CD773B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https://kalselpos.com/2021/11/23/apbd-banjarmasin-2022-disepakati-rp18-triliun-skpd-minim-hadir/</w:t>
        </w:r>
      </w:hyperlink>
      <w:proofErr w:type="gramStart"/>
      <w:r w:rsidR="0039253B" w:rsidRPr="00CD773B">
        <w:rPr>
          <w:rFonts w:ascii="Times New Roman" w:hAnsi="Times New Roman" w:cs="Times New Roman"/>
          <w:sz w:val="24"/>
          <w:szCs w:val="24"/>
        </w:rPr>
        <w:t>,</w:t>
      </w:r>
      <w:r w:rsidR="00985999" w:rsidRPr="00CD773B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CD773B">
        <w:rPr>
          <w:rFonts w:ascii="Times New Roman" w:hAnsi="Times New Roman" w:cs="Times New Roman"/>
          <w:sz w:val="24"/>
          <w:szCs w:val="24"/>
        </w:rPr>
        <w:t xml:space="preserve"> </w:t>
      </w:r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>APBD</w:t>
      </w:r>
      <w:proofErr w:type="gramEnd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 xml:space="preserve"> Banjarmasin 2022 </w:t>
      </w:r>
      <w:proofErr w:type="spellStart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>disepakati</w:t>
      </w:r>
      <w:proofErr w:type="spellEnd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 xml:space="preserve"> Rp1,8 </w:t>
      </w:r>
      <w:proofErr w:type="spellStart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>Triliun</w:t>
      </w:r>
      <w:proofErr w:type="spellEnd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 xml:space="preserve">, SKPD minim </w:t>
      </w:r>
      <w:proofErr w:type="spellStart"/>
      <w:r w:rsidR="00985999" w:rsidRPr="00CD773B">
        <w:rPr>
          <w:rFonts w:ascii="Times New Roman" w:hAnsi="Times New Roman" w:cs="Times New Roman"/>
          <w:bCs/>
          <w:i/>
          <w:sz w:val="24"/>
          <w:szCs w:val="24"/>
        </w:rPr>
        <w:t>hadir</w:t>
      </w:r>
      <w:proofErr w:type="spellEnd"/>
      <w:r w:rsidR="00985999" w:rsidRPr="00CD77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29 November </w:t>
      </w:r>
      <w:r w:rsidR="006D1912" w:rsidRPr="00CD773B">
        <w:rPr>
          <w:rFonts w:ascii="Times New Roman" w:hAnsi="Times New Roman" w:cs="Times New Roman"/>
          <w:sz w:val="24"/>
          <w:szCs w:val="24"/>
        </w:rPr>
        <w:t>2021</w:t>
      </w:r>
      <w:r w:rsidR="00CE28E0" w:rsidRPr="00CD773B">
        <w:rPr>
          <w:rFonts w:ascii="Times New Roman" w:hAnsi="Times New Roman" w:cs="Times New Roman"/>
          <w:sz w:val="24"/>
          <w:szCs w:val="24"/>
        </w:rPr>
        <w:t>.</w:t>
      </w:r>
      <w:r w:rsidR="0039253B" w:rsidRPr="00CD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73292" w14:textId="4334BD5D" w:rsidR="00985999" w:rsidRPr="00CD773B" w:rsidRDefault="005345AC" w:rsidP="00985999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985999" w:rsidRPr="00CD77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https://rri.co.id/banjarmasin/kabupaten-kota/1268881/apbd-kota-banjarmasin-tahun-2022-disepakati-sebesar-rp1-8-triliun?utm_source=news_main&amp;utm_medium=internal_link&amp;utm_campaign=General%20Campaign</w:t>
        </w:r>
      </w:hyperlink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, APBD </w:t>
      </w:r>
      <w:proofErr w:type="spell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 Banjarmasin </w:t>
      </w:r>
      <w:proofErr w:type="spell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disepakati</w:t>
      </w:r>
      <w:proofErr w:type="spell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 Rp1</w:t>
      </w:r>
      <w:proofErr w:type="gram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,8</w:t>
      </w:r>
      <w:proofErr w:type="gram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5999" w:rsidRPr="00CD773B">
        <w:rPr>
          <w:rFonts w:ascii="Times New Roman" w:hAnsi="Times New Roman" w:cs="Times New Roman"/>
          <w:bCs/>
          <w:sz w:val="24"/>
          <w:szCs w:val="24"/>
        </w:rPr>
        <w:t>Triliun</w:t>
      </w:r>
      <w:proofErr w:type="spellEnd"/>
      <w:r w:rsidR="00985999" w:rsidRPr="00CD773B">
        <w:rPr>
          <w:rFonts w:ascii="Times New Roman" w:hAnsi="Times New Roman" w:cs="Times New Roman"/>
          <w:bCs/>
          <w:sz w:val="24"/>
          <w:szCs w:val="24"/>
        </w:rPr>
        <w:t xml:space="preserve">, 29 November </w:t>
      </w:r>
      <w:r w:rsidR="00985999" w:rsidRPr="00CD773B">
        <w:rPr>
          <w:rFonts w:ascii="Times New Roman" w:hAnsi="Times New Roman" w:cs="Times New Roman"/>
          <w:sz w:val="24"/>
          <w:szCs w:val="24"/>
        </w:rPr>
        <w:t>2021.</w:t>
      </w:r>
    </w:p>
    <w:p w14:paraId="26031C89" w14:textId="77777777" w:rsidR="00C304E8" w:rsidRPr="00CD773B" w:rsidRDefault="00C304E8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CD773B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CD773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CD773B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CD773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73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73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CD773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73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CD773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CD773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3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D773B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CD773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CD773B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CD773B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EBA34" w14:textId="77777777" w:rsidR="00B509CF" w:rsidRPr="00CD773B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CD773B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FB25" w14:textId="77777777" w:rsidR="00C16FB6" w:rsidRDefault="00C16FB6" w:rsidP="00E42981">
      <w:pPr>
        <w:spacing w:after="0" w:line="240" w:lineRule="auto"/>
      </w:pPr>
      <w:r>
        <w:separator/>
      </w:r>
    </w:p>
  </w:endnote>
  <w:endnote w:type="continuationSeparator" w:id="0">
    <w:p w14:paraId="7DB6D7F4" w14:textId="77777777" w:rsidR="00C16FB6" w:rsidRDefault="00C16FB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1198F8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5AC" w:rsidRPr="005345A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F6D5" w14:textId="77777777" w:rsidR="00C16FB6" w:rsidRDefault="00C16FB6" w:rsidP="00E42981">
      <w:pPr>
        <w:spacing w:after="0" w:line="240" w:lineRule="auto"/>
      </w:pPr>
      <w:r>
        <w:separator/>
      </w:r>
    </w:p>
  </w:footnote>
  <w:footnote w:type="continuationSeparator" w:id="0">
    <w:p w14:paraId="0F888EC2" w14:textId="77777777" w:rsidR="00C16FB6" w:rsidRDefault="00C16FB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2701BF"/>
    <w:rsid w:val="002977CD"/>
    <w:rsid w:val="00375E65"/>
    <w:rsid w:val="003768AC"/>
    <w:rsid w:val="0039253B"/>
    <w:rsid w:val="003B6A48"/>
    <w:rsid w:val="00422967"/>
    <w:rsid w:val="004A75A5"/>
    <w:rsid w:val="0053422B"/>
    <w:rsid w:val="005345AC"/>
    <w:rsid w:val="005A38B7"/>
    <w:rsid w:val="006D1912"/>
    <w:rsid w:val="00705C85"/>
    <w:rsid w:val="007E03E1"/>
    <w:rsid w:val="00803263"/>
    <w:rsid w:val="00814B61"/>
    <w:rsid w:val="00823004"/>
    <w:rsid w:val="00957D36"/>
    <w:rsid w:val="00985999"/>
    <w:rsid w:val="00A97DE1"/>
    <w:rsid w:val="00AD32D1"/>
    <w:rsid w:val="00B509CF"/>
    <w:rsid w:val="00B87AA9"/>
    <w:rsid w:val="00B94326"/>
    <w:rsid w:val="00B9524A"/>
    <w:rsid w:val="00C16FB6"/>
    <w:rsid w:val="00C304E8"/>
    <w:rsid w:val="00CD47ED"/>
    <w:rsid w:val="00CD773B"/>
    <w:rsid w:val="00CE28E0"/>
    <w:rsid w:val="00DB4F2A"/>
    <w:rsid w:val="00E42981"/>
    <w:rsid w:val="00F37C0F"/>
    <w:rsid w:val="00F418C4"/>
    <w:rsid w:val="00F716A3"/>
    <w:rsid w:val="00F860E5"/>
    <w:rsid w:val="00FB6D69"/>
    <w:rsid w:val="00FC7A9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ri.co.id/banjarmasin/kabupaten-kota/1268881/apbd-kota-banjarmasin-tahun-2022-disepakati-sebesar-rp1-8-triliun?utm_source=news_main&amp;utm_medium=internal_link&amp;utm_campaign=General%20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3/apbd-banjarmasin-2022-disepakati-rp18-triliun-skpd-minim-hadir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1EE9-81F3-4C04-AE98-D33901A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2021-11-29T02:20:00Z</dcterms:created>
  <dcterms:modified xsi:type="dcterms:W3CDTF">2021-12-31T13:04:00Z</dcterms:modified>
</cp:coreProperties>
</file>